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ascii="黑体" w:hAnsi="黑体" w:eastAsia="黑体" w:cs="黑体"/>
          <w:b/>
          <w:bCs/>
          <w:sz w:val="48"/>
          <w:szCs w:val="48"/>
        </w:rPr>
      </w:pPr>
    </w:p>
    <w:p>
      <w:pPr>
        <w:spacing w:line="800" w:lineRule="exact"/>
        <w:jc w:val="center"/>
        <w:rPr>
          <w:rFonts w:ascii="黑体" w:hAnsi="黑体" w:eastAsia="黑体" w:cs="黑体"/>
          <w:b/>
          <w:bCs/>
          <w:sz w:val="48"/>
          <w:szCs w:val="48"/>
        </w:rPr>
      </w:pPr>
    </w:p>
    <w:p>
      <w:pPr>
        <w:spacing w:line="800" w:lineRule="exact"/>
        <w:jc w:val="center"/>
        <w:rPr>
          <w:rFonts w:ascii="黑体" w:hAnsi="黑体" w:eastAsia="黑体" w:cs="黑体"/>
          <w:b/>
          <w:bCs/>
          <w:sz w:val="48"/>
          <w:szCs w:val="48"/>
        </w:rPr>
      </w:pPr>
    </w:p>
    <w:p>
      <w:pPr>
        <w:spacing w:line="800" w:lineRule="exact"/>
        <w:jc w:val="center"/>
        <w:rPr>
          <w:rFonts w:ascii="黑体" w:hAnsi="黑体" w:eastAsia="黑体" w:cs="黑体"/>
          <w:b/>
          <w:bCs/>
          <w:sz w:val="48"/>
          <w:szCs w:val="48"/>
        </w:rPr>
      </w:pPr>
    </w:p>
    <w:p>
      <w:pPr>
        <w:spacing w:line="800" w:lineRule="exact"/>
        <w:jc w:val="center"/>
        <w:rPr>
          <w:rFonts w:ascii="黑体" w:hAnsi="黑体" w:eastAsia="黑体" w:cs="黑体"/>
          <w:b/>
          <w:bCs/>
          <w:sz w:val="48"/>
          <w:szCs w:val="48"/>
        </w:rPr>
      </w:pPr>
    </w:p>
    <w:p>
      <w:pPr>
        <w:spacing w:line="800" w:lineRule="exact"/>
        <w:jc w:val="center"/>
        <w:rPr>
          <w:b/>
          <w:bCs/>
          <w:sz w:val="48"/>
          <w:szCs w:val="48"/>
        </w:rPr>
      </w:pPr>
      <w:r>
        <w:rPr>
          <w:rFonts w:hint="eastAsia" w:ascii="黑体" w:hAnsi="黑体" w:eastAsia="黑体" w:cs="黑体"/>
          <w:b/>
          <w:bCs/>
          <w:sz w:val="48"/>
          <w:szCs w:val="48"/>
        </w:rPr>
        <w:t>《李沧区关于推进基本养老服务体系建设的实施意见》风险评估报告</w:t>
      </w:r>
    </w:p>
    <w:p>
      <w:pPr>
        <w:spacing w:line="800" w:lineRule="exact"/>
        <w:jc w:val="center"/>
        <w:rPr>
          <w:rFonts w:ascii="方正小标宋_GBK" w:hAnsi="方正小标宋_GBK" w:eastAsia="方正小标宋_GBK" w:cs="方正小标宋_GBK"/>
          <w:b/>
          <w:bCs/>
          <w:sz w:val="44"/>
          <w:szCs w:val="44"/>
        </w:rPr>
      </w:pPr>
    </w:p>
    <w:p>
      <w:pPr>
        <w:spacing w:line="800" w:lineRule="exact"/>
        <w:jc w:val="center"/>
        <w:rPr>
          <w:rFonts w:ascii="方正小标宋_GBK" w:hAnsi="方正小标宋_GBK" w:eastAsia="方正小标宋_GBK" w:cs="方正小标宋_GBK"/>
          <w:b/>
          <w:bCs/>
          <w:sz w:val="44"/>
          <w:szCs w:val="44"/>
        </w:rPr>
      </w:pPr>
    </w:p>
    <w:p>
      <w:pPr>
        <w:spacing w:line="800" w:lineRule="exact"/>
        <w:jc w:val="center"/>
        <w:rPr>
          <w:rFonts w:ascii="方正小标宋_GBK" w:hAnsi="方正小标宋_GBK" w:eastAsia="方正小标宋_GBK" w:cs="方正小标宋_GBK"/>
          <w:b/>
          <w:bCs/>
          <w:sz w:val="44"/>
          <w:szCs w:val="44"/>
        </w:rPr>
      </w:pPr>
    </w:p>
    <w:p>
      <w:pPr>
        <w:spacing w:line="800" w:lineRule="exact"/>
        <w:jc w:val="center"/>
        <w:rPr>
          <w:rFonts w:ascii="方正小标宋_GBK" w:hAnsi="方正小标宋_GBK" w:eastAsia="方正小标宋_GBK" w:cs="方正小标宋_GBK"/>
          <w:b/>
          <w:bCs/>
          <w:sz w:val="44"/>
          <w:szCs w:val="44"/>
        </w:rPr>
      </w:pPr>
    </w:p>
    <w:p>
      <w:pPr>
        <w:spacing w:line="800" w:lineRule="exact"/>
        <w:jc w:val="center"/>
        <w:rPr>
          <w:rFonts w:ascii="方正小标宋_GBK" w:hAnsi="方正小标宋_GBK" w:eastAsia="方正小标宋_GBK" w:cs="方正小标宋_GBK"/>
          <w:b/>
          <w:bCs/>
          <w:sz w:val="44"/>
          <w:szCs w:val="44"/>
        </w:rPr>
      </w:pPr>
    </w:p>
    <w:p>
      <w:pPr>
        <w:spacing w:line="800" w:lineRule="exact"/>
        <w:rPr>
          <w:rFonts w:ascii="方正小标宋_GBK" w:hAnsi="方正小标宋_GBK" w:eastAsia="方正小标宋_GBK" w:cs="方正小标宋_GBK"/>
          <w:b/>
          <w:bCs/>
          <w:sz w:val="44"/>
          <w:szCs w:val="44"/>
        </w:rPr>
      </w:pPr>
    </w:p>
    <w:p>
      <w:pPr>
        <w:spacing w:line="800" w:lineRule="exact"/>
        <w:rPr>
          <w:rFonts w:ascii="方正小标宋_GBK" w:hAnsi="方正小标宋_GBK" w:eastAsia="方正小标宋_GBK" w:cs="方正小标宋_GBK"/>
          <w:b/>
          <w:bCs/>
          <w:sz w:val="44"/>
          <w:szCs w:val="44"/>
        </w:rPr>
      </w:pPr>
    </w:p>
    <w:p>
      <w:pPr>
        <w:spacing w:line="800" w:lineRule="exact"/>
        <w:rPr>
          <w:rFonts w:ascii="方正小标宋_GBK" w:hAnsi="方正小标宋_GBK" w:eastAsia="方正小标宋_GBK" w:cs="方正小标宋_GBK"/>
          <w:b/>
          <w:bCs/>
          <w:sz w:val="44"/>
          <w:szCs w:val="44"/>
        </w:rPr>
      </w:pPr>
    </w:p>
    <w:p>
      <w:pPr>
        <w:spacing w:line="800" w:lineRule="exact"/>
        <w:jc w:val="right"/>
        <w:rPr>
          <w:rFonts w:ascii="黑体" w:hAnsi="黑体" w:eastAsia="黑体" w:cs="黑体"/>
          <w:sz w:val="32"/>
          <w:szCs w:val="32"/>
        </w:rPr>
      </w:pPr>
      <w:r>
        <w:rPr>
          <w:rFonts w:hint="eastAsia" w:ascii="黑体" w:hAnsi="黑体" w:eastAsia="黑体" w:cs="黑体"/>
          <w:sz w:val="32"/>
          <w:szCs w:val="32"/>
          <w:lang w:val="en-US" w:eastAsia="zh-CN"/>
        </w:rPr>
        <w:t>李沧</w:t>
      </w:r>
      <w:r>
        <w:rPr>
          <w:rFonts w:hint="eastAsia" w:ascii="黑体" w:hAnsi="黑体" w:eastAsia="黑体" w:cs="黑体"/>
          <w:sz w:val="32"/>
          <w:szCs w:val="32"/>
        </w:rPr>
        <w:t>区民政局</w:t>
      </w:r>
    </w:p>
    <w:p>
      <w:pPr>
        <w:wordWrap w:val="0"/>
        <w:spacing w:line="800" w:lineRule="exact"/>
        <w:jc w:val="right"/>
        <w:rPr>
          <w:rFonts w:ascii="黑体" w:hAnsi="黑体" w:eastAsia="黑体" w:cs="黑体"/>
          <w:sz w:val="32"/>
          <w:szCs w:val="32"/>
        </w:rPr>
      </w:pPr>
      <w:r>
        <w:rPr>
          <w:rFonts w:hint="eastAsia" w:ascii="黑体" w:hAnsi="黑体" w:eastAsia="黑体" w:cs="黑体"/>
          <w:sz w:val="32"/>
          <w:szCs w:val="32"/>
        </w:rPr>
        <w:t>2023年</w:t>
      </w:r>
      <w:r>
        <w:rPr>
          <w:rFonts w:hint="eastAsia" w:ascii="黑体" w:hAnsi="黑体" w:eastAsia="黑体" w:cs="黑体"/>
          <w:sz w:val="32"/>
          <w:szCs w:val="32"/>
          <w:lang w:val="en-US" w:eastAsia="zh-CN"/>
        </w:rPr>
        <w:t>9</w:t>
      </w:r>
      <w:r>
        <w:rPr>
          <w:rFonts w:hint="eastAsia" w:ascii="黑体" w:hAnsi="黑体" w:eastAsia="黑体" w:cs="黑体"/>
          <w:sz w:val="32"/>
          <w:szCs w:val="32"/>
        </w:rPr>
        <w:t>月</w:t>
      </w:r>
      <w:r>
        <w:rPr>
          <w:rFonts w:hint="eastAsia" w:ascii="黑体" w:hAnsi="黑体" w:eastAsia="黑体" w:cs="黑体"/>
          <w:sz w:val="32"/>
          <w:szCs w:val="32"/>
          <w:lang w:val="en-US" w:eastAsia="zh-CN"/>
        </w:rPr>
        <w:t>28</w:t>
      </w:r>
      <w:r>
        <w:rPr>
          <w:rFonts w:hint="eastAsia" w:ascii="黑体" w:hAnsi="黑体" w:eastAsia="黑体" w:cs="黑体"/>
          <w:sz w:val="32"/>
          <w:szCs w:val="32"/>
        </w:rPr>
        <w:t>日</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  录</w:t>
      </w:r>
    </w:p>
    <w:sdt>
      <w:sdtPr>
        <w:rPr>
          <w:rFonts w:ascii="宋体" w:hAnsi="宋体" w:eastAsia="宋体"/>
        </w:rPr>
        <w:id w:val="147456754"/>
        <w15:color w:val="DBDBDB"/>
        <w:docPartObj>
          <w:docPartGallery w:val="Table of Contents"/>
          <w:docPartUnique/>
        </w:docPartObj>
      </w:sdtPr>
      <w:sdtEndPr>
        <w:rPr>
          <w:rFonts w:hint="eastAsia" w:ascii="仿宋_GB2312" w:hAnsi="仿宋_GB2312" w:eastAsia="仿宋_GB2312" w:cs="仿宋_GB2312"/>
          <w:b/>
          <w:sz w:val="28"/>
          <w:szCs w:val="28"/>
        </w:rPr>
      </w:sdtEndPr>
      <w:sdtContent>
        <w:p>
          <w:pPr>
            <w:jc w:val="left"/>
          </w:pPr>
        </w:p>
        <w:p>
          <w:pPr>
            <w:pStyle w:val="10"/>
            <w:tabs>
              <w:tab w:val="right" w:leader="dot" w:pos="8306"/>
            </w:tabs>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TOC \o "1-2" \h \u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_Toc10781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rPr>
            <w:t>前  言</w:t>
          </w:r>
          <w:r>
            <w:tab/>
          </w:r>
          <w:r>
            <w:fldChar w:fldCharType="begin"/>
          </w:r>
          <w:r>
            <w:instrText xml:space="preserve"> PAGEREF _Toc10781 \h </w:instrText>
          </w:r>
          <w:r>
            <w:fldChar w:fldCharType="separate"/>
          </w:r>
          <w:r>
            <w:t>3</w:t>
          </w:r>
          <w:r>
            <w:fldChar w:fldCharType="end"/>
          </w:r>
          <w:r>
            <w:rPr>
              <w:rFonts w:hint="eastAsia" w:ascii="仿宋_GB2312" w:hAnsi="仿宋_GB2312" w:eastAsia="仿宋_GB2312" w:cs="仿宋_GB2312"/>
              <w:szCs w:val="28"/>
            </w:rPr>
            <w:fldChar w:fldCharType="end"/>
          </w:r>
        </w:p>
        <w:p>
          <w:pPr>
            <w:pStyle w:val="10"/>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_Toc20061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rPr>
            <w:t>第一章 《实施</w:t>
          </w:r>
          <w:r>
            <w:rPr>
              <w:rFonts w:hint="eastAsia" w:ascii="方正小标宋_GBK" w:hAnsi="方正小标宋_GBK" w:eastAsia="方正小标宋_GBK" w:cs="方正小标宋_GBK"/>
              <w:szCs w:val="44"/>
              <w:lang w:val="en-US" w:eastAsia="zh-CN"/>
            </w:rPr>
            <w:t>意见</w:t>
          </w:r>
          <w:r>
            <w:rPr>
              <w:rFonts w:hint="eastAsia" w:ascii="方正小标宋_GBK" w:hAnsi="方正小标宋_GBK" w:eastAsia="方正小标宋_GBK" w:cs="方正小标宋_GBK"/>
              <w:szCs w:val="44"/>
            </w:rPr>
            <w:t>》基本情况</w:t>
          </w:r>
          <w:r>
            <w:tab/>
          </w:r>
          <w:r>
            <w:fldChar w:fldCharType="begin"/>
          </w:r>
          <w:r>
            <w:instrText xml:space="preserve"> PAGEREF _Toc20061 \h </w:instrText>
          </w:r>
          <w:r>
            <w:fldChar w:fldCharType="separate"/>
          </w:r>
          <w:r>
            <w:t>1</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_Toc22273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一、编制背景</w:t>
          </w:r>
          <w:r>
            <w:tab/>
          </w:r>
          <w:r>
            <w:fldChar w:fldCharType="begin"/>
          </w:r>
          <w:r>
            <w:instrText xml:space="preserve"> PAGEREF _Toc22273 \h </w:instrText>
          </w:r>
          <w:r>
            <w:fldChar w:fldCharType="separate"/>
          </w:r>
          <w:r>
            <w:t>1</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_Toc25180 </w:instrText>
          </w:r>
          <w:r>
            <w:rPr>
              <w:rFonts w:hint="eastAsia" w:ascii="仿宋_GB2312" w:hAnsi="仿宋_GB2312" w:eastAsia="仿宋_GB2312" w:cs="仿宋_GB2312"/>
              <w:szCs w:val="28"/>
            </w:rPr>
            <w:fldChar w:fldCharType="separate"/>
          </w:r>
          <w:r>
            <w:rPr>
              <w:rFonts w:hint="eastAsia" w:ascii="黑体" w:hAnsi="黑体" w:eastAsia="黑体" w:cs="黑体"/>
              <w:szCs w:val="32"/>
            </w:rPr>
            <w:t>二、编制过程</w:t>
          </w:r>
          <w:r>
            <w:tab/>
          </w:r>
          <w:r>
            <w:fldChar w:fldCharType="begin"/>
          </w:r>
          <w:r>
            <w:instrText xml:space="preserve"> PAGEREF _Toc25180 \h </w:instrText>
          </w:r>
          <w:r>
            <w:fldChar w:fldCharType="separate"/>
          </w:r>
          <w:r>
            <w:t>1</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_Toc35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三、《实施意见》主要内容</w:t>
          </w:r>
          <w:r>
            <w:tab/>
          </w:r>
          <w:r>
            <w:fldChar w:fldCharType="begin"/>
          </w:r>
          <w:r>
            <w:instrText xml:space="preserve"> PAGEREF _Toc35 \h </w:instrText>
          </w:r>
          <w:r>
            <w:fldChar w:fldCharType="separate"/>
          </w:r>
          <w:r>
            <w:t>1</w:t>
          </w:r>
          <w:r>
            <w:fldChar w:fldCharType="end"/>
          </w:r>
          <w:r>
            <w:rPr>
              <w:rFonts w:hint="eastAsia" w:ascii="仿宋_GB2312" w:hAnsi="仿宋_GB2312" w:eastAsia="仿宋_GB2312" w:cs="仿宋_GB2312"/>
              <w:szCs w:val="28"/>
            </w:rPr>
            <w:fldChar w:fldCharType="end"/>
          </w:r>
        </w:p>
        <w:p>
          <w:pPr>
            <w:pStyle w:val="10"/>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_Toc6199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rPr>
            <w:t>第二章 风险评估主体和事项、方式和过程</w:t>
          </w:r>
          <w:r>
            <w:tab/>
          </w:r>
          <w:r>
            <w:fldChar w:fldCharType="begin"/>
          </w:r>
          <w:r>
            <w:instrText xml:space="preserve"> PAGEREF _Toc6199 \h </w:instrText>
          </w:r>
          <w:r>
            <w:fldChar w:fldCharType="separate"/>
          </w:r>
          <w:r>
            <w:t>8</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_Toc10480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一、风险评估主体和事项</w:t>
          </w:r>
          <w:r>
            <w:tab/>
          </w:r>
          <w:r>
            <w:fldChar w:fldCharType="begin"/>
          </w:r>
          <w:r>
            <w:instrText xml:space="preserve"> PAGEREF _Toc10480 \h </w:instrText>
          </w:r>
          <w:r>
            <w:fldChar w:fldCharType="separate"/>
          </w:r>
          <w:r>
            <w:t>8</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_Toc9307 </w:instrText>
          </w:r>
          <w:r>
            <w:rPr>
              <w:rFonts w:hint="eastAsia" w:ascii="仿宋_GB2312" w:hAnsi="仿宋_GB2312" w:eastAsia="仿宋_GB2312" w:cs="仿宋_GB2312"/>
              <w:szCs w:val="28"/>
            </w:rPr>
            <w:fldChar w:fldCharType="separate"/>
          </w:r>
          <w:r>
            <w:rPr>
              <w:rFonts w:hint="eastAsia" w:ascii="黑体" w:hAnsi="黑体" w:eastAsia="黑体" w:cs="黑体"/>
              <w:szCs w:val="32"/>
            </w:rPr>
            <w:t>二、风险评估方式和过程</w:t>
          </w:r>
          <w:r>
            <w:tab/>
          </w:r>
          <w:r>
            <w:fldChar w:fldCharType="begin"/>
          </w:r>
          <w:r>
            <w:instrText xml:space="preserve"> PAGEREF _Toc9307 \h </w:instrText>
          </w:r>
          <w:r>
            <w:fldChar w:fldCharType="separate"/>
          </w:r>
          <w:r>
            <w:t>8</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_Toc16390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三、风险评估依据</w:t>
          </w:r>
          <w:r>
            <w:tab/>
          </w:r>
          <w:r>
            <w:fldChar w:fldCharType="begin"/>
          </w:r>
          <w:r>
            <w:instrText xml:space="preserve"> PAGEREF _Toc16390 \h </w:instrText>
          </w:r>
          <w:r>
            <w:fldChar w:fldCharType="separate"/>
          </w:r>
          <w:r>
            <w:t>9</w:t>
          </w:r>
          <w:r>
            <w:fldChar w:fldCharType="end"/>
          </w:r>
          <w:r>
            <w:rPr>
              <w:rFonts w:hint="eastAsia" w:ascii="仿宋_GB2312" w:hAnsi="仿宋_GB2312" w:eastAsia="仿宋_GB2312" w:cs="仿宋_GB2312"/>
              <w:szCs w:val="28"/>
            </w:rPr>
            <w:fldChar w:fldCharType="end"/>
          </w:r>
        </w:p>
        <w:p>
          <w:pPr>
            <w:pStyle w:val="10"/>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_Toc16171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rPr>
            <w:t>第三章 风险调查</w:t>
          </w:r>
          <w:r>
            <w:tab/>
          </w:r>
          <w:r>
            <w:fldChar w:fldCharType="begin"/>
          </w:r>
          <w:r>
            <w:instrText xml:space="preserve"> PAGEREF _Toc16171 \h </w:instrText>
          </w:r>
          <w:r>
            <w:fldChar w:fldCharType="separate"/>
          </w:r>
          <w:r>
            <w:t>10</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_Toc6013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一、文献资料收集分析</w:t>
          </w:r>
          <w:r>
            <w:tab/>
          </w:r>
          <w:r>
            <w:fldChar w:fldCharType="begin"/>
          </w:r>
          <w:r>
            <w:instrText xml:space="preserve"> PAGEREF _Toc6013 \h </w:instrText>
          </w:r>
          <w:r>
            <w:fldChar w:fldCharType="separate"/>
          </w:r>
          <w:r>
            <w:t>10</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_Toc26808 </w:instrText>
          </w:r>
          <w:r>
            <w:rPr>
              <w:rFonts w:hint="eastAsia" w:ascii="仿宋_GB2312" w:hAnsi="仿宋_GB2312" w:eastAsia="仿宋_GB2312" w:cs="仿宋_GB2312"/>
              <w:szCs w:val="28"/>
            </w:rPr>
            <w:fldChar w:fldCharType="separate"/>
          </w:r>
          <w:r>
            <w:rPr>
              <w:rFonts w:hint="eastAsia" w:ascii="黑体" w:hAnsi="黑体" w:eastAsia="黑体" w:cs="黑体"/>
              <w:szCs w:val="32"/>
            </w:rPr>
            <w:t>二、公众意见征求及采纳情况</w:t>
          </w:r>
          <w:r>
            <w:tab/>
          </w:r>
          <w:r>
            <w:fldChar w:fldCharType="begin"/>
          </w:r>
          <w:r>
            <w:instrText xml:space="preserve"> PAGEREF _Toc26808 \h </w:instrText>
          </w:r>
          <w:r>
            <w:fldChar w:fldCharType="separate"/>
          </w:r>
          <w:r>
            <w:t>10</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_Toc27493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三、部门意见征集及采纳情况</w:t>
          </w:r>
          <w:r>
            <w:tab/>
          </w:r>
          <w:r>
            <w:fldChar w:fldCharType="begin"/>
          </w:r>
          <w:r>
            <w:instrText xml:space="preserve"> PAGEREF _Toc27493 \h </w:instrText>
          </w:r>
          <w:r>
            <w:fldChar w:fldCharType="separate"/>
          </w:r>
          <w:r>
            <w:t>11</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_Toc29751 </w:instrText>
          </w:r>
          <w:r>
            <w:rPr>
              <w:rFonts w:hint="eastAsia" w:ascii="仿宋_GB2312" w:hAnsi="仿宋_GB2312" w:eastAsia="仿宋_GB2312" w:cs="仿宋_GB2312"/>
              <w:szCs w:val="28"/>
            </w:rPr>
            <w:fldChar w:fldCharType="separate"/>
          </w:r>
          <w:r>
            <w:rPr>
              <w:rFonts w:hint="eastAsia" w:ascii="黑体" w:hAnsi="黑体" w:eastAsia="黑体" w:cs="黑体"/>
              <w:szCs w:val="32"/>
              <w:highlight w:val="none"/>
            </w:rPr>
            <w:t>四、专家评审</w:t>
          </w:r>
          <w:r>
            <w:tab/>
          </w:r>
          <w:r>
            <w:fldChar w:fldCharType="begin"/>
          </w:r>
          <w:r>
            <w:instrText xml:space="preserve"> PAGEREF _Toc29751 \h </w:instrText>
          </w:r>
          <w:r>
            <w:fldChar w:fldCharType="separate"/>
          </w:r>
          <w:r>
            <w:t>11</w:t>
          </w:r>
          <w:r>
            <w:fldChar w:fldCharType="end"/>
          </w:r>
          <w:r>
            <w:rPr>
              <w:rFonts w:hint="eastAsia" w:ascii="仿宋_GB2312" w:hAnsi="仿宋_GB2312" w:eastAsia="仿宋_GB2312" w:cs="仿宋_GB2312"/>
              <w:szCs w:val="28"/>
            </w:rPr>
            <w:fldChar w:fldCharType="end"/>
          </w:r>
        </w:p>
        <w:p>
          <w:pPr>
            <w:pStyle w:val="10"/>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_Toc7318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lang w:val="en-US" w:bidi="ar-SA"/>
            </w:rPr>
            <w:t>第四章 风险因素识别</w:t>
          </w:r>
          <w:r>
            <w:tab/>
          </w:r>
          <w:r>
            <w:fldChar w:fldCharType="begin"/>
          </w:r>
          <w:r>
            <w:instrText xml:space="preserve"> PAGEREF _Toc7318 \h </w:instrText>
          </w:r>
          <w:r>
            <w:fldChar w:fldCharType="separate"/>
          </w:r>
          <w:r>
            <w:t>14</w:t>
          </w:r>
          <w:r>
            <w:fldChar w:fldCharType="end"/>
          </w:r>
          <w:r>
            <w:rPr>
              <w:rFonts w:hint="eastAsia" w:ascii="仿宋_GB2312" w:hAnsi="仿宋_GB2312" w:eastAsia="仿宋_GB2312" w:cs="仿宋_GB2312"/>
              <w:szCs w:val="28"/>
            </w:rPr>
            <w:fldChar w:fldCharType="end"/>
          </w:r>
        </w:p>
        <w:p>
          <w:pPr>
            <w:pStyle w:val="10"/>
            <w:tabs>
              <w:tab w:val="right" w:leader="dot" w:pos="8306"/>
            </w:tabs>
            <w:ind w:firstLine="420" w:firstLineChars="200"/>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_Toc20391 </w:instrText>
          </w:r>
          <w:r>
            <w:rPr>
              <w:rFonts w:hint="eastAsia" w:ascii="仿宋_GB2312" w:hAnsi="仿宋_GB2312" w:eastAsia="仿宋_GB2312" w:cs="仿宋_GB2312"/>
              <w:szCs w:val="28"/>
            </w:rPr>
            <w:fldChar w:fldCharType="separate"/>
          </w:r>
          <w:r>
            <w:rPr>
              <w:rFonts w:hint="eastAsia" w:ascii="黑体" w:hAnsi="黑体" w:eastAsia="黑体" w:cs="黑体"/>
              <w:szCs w:val="32"/>
              <w:lang w:val="en-US" w:bidi="ar-SA"/>
            </w:rPr>
            <w:t>一、风险识别方法</w:t>
          </w:r>
          <w:r>
            <w:tab/>
          </w:r>
          <w:r>
            <w:fldChar w:fldCharType="begin"/>
          </w:r>
          <w:r>
            <w:instrText xml:space="preserve"> PAGEREF _Toc20391 \h </w:instrText>
          </w:r>
          <w:r>
            <w:fldChar w:fldCharType="separate"/>
          </w:r>
          <w:r>
            <w:t>14</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_Toc5076 </w:instrText>
          </w:r>
          <w:r>
            <w:rPr>
              <w:rFonts w:hint="eastAsia" w:ascii="仿宋_GB2312" w:hAnsi="仿宋_GB2312" w:eastAsia="仿宋_GB2312" w:cs="仿宋_GB2312"/>
              <w:szCs w:val="28"/>
            </w:rPr>
            <w:fldChar w:fldCharType="separate"/>
          </w:r>
          <w:r>
            <w:rPr>
              <w:rFonts w:hint="eastAsia" w:ascii="黑体" w:hAnsi="黑体" w:eastAsia="黑体" w:cs="黑体"/>
              <w:szCs w:val="32"/>
              <w:lang w:val="en-US" w:bidi="ar-SA"/>
            </w:rPr>
            <w:t>二、风险因素识别结果</w:t>
          </w:r>
          <w:r>
            <w:tab/>
          </w:r>
          <w:r>
            <w:fldChar w:fldCharType="begin"/>
          </w:r>
          <w:r>
            <w:instrText xml:space="preserve"> PAGEREF _Toc5076 \h </w:instrText>
          </w:r>
          <w:r>
            <w:fldChar w:fldCharType="separate"/>
          </w:r>
          <w:r>
            <w:t>18</w:t>
          </w:r>
          <w:r>
            <w:fldChar w:fldCharType="end"/>
          </w:r>
          <w:r>
            <w:rPr>
              <w:rFonts w:hint="eastAsia" w:ascii="仿宋_GB2312" w:hAnsi="仿宋_GB2312" w:eastAsia="仿宋_GB2312" w:cs="仿宋_GB2312"/>
              <w:szCs w:val="28"/>
            </w:rPr>
            <w:fldChar w:fldCharType="end"/>
          </w:r>
        </w:p>
        <w:p>
          <w:pPr>
            <w:pStyle w:val="10"/>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_Toc18780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lang w:bidi="ar"/>
            </w:rPr>
            <w:t>第五章 风险程度估计及风险等级判断</w:t>
          </w:r>
          <w:r>
            <w:tab/>
          </w:r>
          <w:r>
            <w:fldChar w:fldCharType="begin"/>
          </w:r>
          <w:r>
            <w:instrText xml:space="preserve"> PAGEREF _Toc18780 \h </w:instrText>
          </w:r>
          <w:r>
            <w:fldChar w:fldCharType="separate"/>
          </w:r>
          <w:r>
            <w:t>19</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_Toc5131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一、风险估计评判标准</w:t>
          </w:r>
          <w:r>
            <w:tab/>
          </w:r>
          <w:r>
            <w:fldChar w:fldCharType="begin"/>
          </w:r>
          <w:r>
            <w:instrText xml:space="preserve"> PAGEREF _Toc5131 \h </w:instrText>
          </w:r>
          <w:r>
            <w:fldChar w:fldCharType="separate"/>
          </w:r>
          <w:r>
            <w:t>19</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_Toc24024 </w:instrText>
          </w:r>
          <w:r>
            <w:rPr>
              <w:rFonts w:hint="eastAsia" w:ascii="仿宋_GB2312" w:hAnsi="仿宋_GB2312" w:eastAsia="仿宋_GB2312" w:cs="仿宋_GB2312"/>
              <w:szCs w:val="28"/>
            </w:rPr>
            <w:fldChar w:fldCharType="separate"/>
          </w:r>
          <w:r>
            <w:rPr>
              <w:rFonts w:hint="eastAsia" w:ascii="黑体" w:hAnsi="黑体" w:eastAsia="黑体" w:cs="黑体"/>
              <w:szCs w:val="32"/>
            </w:rPr>
            <w:t>二、风险等级判断</w:t>
          </w:r>
          <w:r>
            <w:tab/>
          </w:r>
          <w:r>
            <w:fldChar w:fldCharType="begin"/>
          </w:r>
          <w:r>
            <w:instrText xml:space="preserve"> PAGEREF _Toc24024 \h </w:instrText>
          </w:r>
          <w:r>
            <w:fldChar w:fldCharType="separate"/>
          </w:r>
          <w:r>
            <w:t>20</w:t>
          </w:r>
          <w:r>
            <w:fldChar w:fldCharType="end"/>
          </w:r>
          <w:r>
            <w:rPr>
              <w:rFonts w:hint="eastAsia" w:ascii="仿宋_GB2312" w:hAnsi="仿宋_GB2312" w:eastAsia="仿宋_GB2312" w:cs="仿宋_GB2312"/>
              <w:szCs w:val="28"/>
            </w:rPr>
            <w:fldChar w:fldCharType="end"/>
          </w:r>
        </w:p>
        <w:p>
          <w:pPr>
            <w:pStyle w:val="10"/>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_Toc32723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rPr>
            <w:t>第六章 风险防范化解措施</w:t>
          </w:r>
          <w:r>
            <w:tab/>
          </w:r>
          <w:r>
            <w:fldChar w:fldCharType="begin"/>
          </w:r>
          <w:r>
            <w:instrText xml:space="preserve"> PAGEREF _Toc32723 \h </w:instrText>
          </w:r>
          <w:r>
            <w:fldChar w:fldCharType="separate"/>
          </w:r>
          <w:r>
            <w:t>23</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_Toc25839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一、社会稳定风险</w:t>
          </w:r>
          <w:r>
            <w:tab/>
          </w:r>
          <w:r>
            <w:fldChar w:fldCharType="begin"/>
          </w:r>
          <w:r>
            <w:instrText xml:space="preserve"> PAGEREF _Toc25839 \h </w:instrText>
          </w:r>
          <w:r>
            <w:fldChar w:fldCharType="separate"/>
          </w:r>
          <w:r>
            <w:t>23</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_Toc14559 </w:instrText>
          </w:r>
          <w:r>
            <w:rPr>
              <w:rFonts w:hint="eastAsia" w:ascii="仿宋_GB2312" w:hAnsi="仿宋_GB2312" w:eastAsia="仿宋_GB2312" w:cs="仿宋_GB2312"/>
              <w:szCs w:val="28"/>
            </w:rPr>
            <w:fldChar w:fldCharType="separate"/>
          </w:r>
          <w:r>
            <w:rPr>
              <w:rFonts w:hint="eastAsia" w:ascii="黑体" w:hAnsi="黑体" w:eastAsia="黑体" w:cs="黑体"/>
              <w:szCs w:val="32"/>
            </w:rPr>
            <w:t>二、公共安全风险</w:t>
          </w:r>
          <w:r>
            <w:tab/>
          </w:r>
          <w:r>
            <w:fldChar w:fldCharType="begin"/>
          </w:r>
          <w:r>
            <w:instrText xml:space="preserve"> PAGEREF _Toc14559 \h </w:instrText>
          </w:r>
          <w:r>
            <w:fldChar w:fldCharType="separate"/>
          </w:r>
          <w:r>
            <w:t>23</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_Toc17905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三、生态环境风险</w:t>
          </w:r>
          <w:r>
            <w:tab/>
          </w:r>
          <w:r>
            <w:fldChar w:fldCharType="begin"/>
          </w:r>
          <w:r>
            <w:instrText xml:space="preserve"> PAGEREF _Toc17905 \h </w:instrText>
          </w:r>
          <w:r>
            <w:fldChar w:fldCharType="separate"/>
          </w:r>
          <w:r>
            <w:t>23</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_Toc3081 </w:instrText>
          </w:r>
          <w:r>
            <w:rPr>
              <w:rFonts w:hint="eastAsia" w:ascii="仿宋_GB2312" w:hAnsi="仿宋_GB2312" w:eastAsia="仿宋_GB2312" w:cs="仿宋_GB2312"/>
              <w:szCs w:val="28"/>
            </w:rPr>
            <w:fldChar w:fldCharType="separate"/>
          </w:r>
          <w:r>
            <w:rPr>
              <w:rFonts w:hint="eastAsia" w:ascii="黑体" w:hAnsi="黑体" w:eastAsia="黑体" w:cs="黑体"/>
              <w:szCs w:val="32"/>
            </w:rPr>
            <w:t>四、财政金融风险</w:t>
          </w:r>
          <w:r>
            <w:tab/>
          </w:r>
          <w:r>
            <w:fldChar w:fldCharType="begin"/>
          </w:r>
          <w:r>
            <w:instrText xml:space="preserve"> PAGEREF _Toc3081 \h </w:instrText>
          </w:r>
          <w:r>
            <w:fldChar w:fldCharType="separate"/>
          </w:r>
          <w:r>
            <w:t>24</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_Toc6668 </w:instrText>
          </w:r>
          <w:r>
            <w:rPr>
              <w:rFonts w:hint="eastAsia" w:ascii="仿宋_GB2312" w:hAnsi="仿宋_GB2312" w:eastAsia="仿宋_GB2312" w:cs="仿宋_GB2312"/>
              <w:szCs w:val="28"/>
            </w:rPr>
            <w:fldChar w:fldCharType="separate"/>
          </w:r>
          <w:r>
            <w:rPr>
              <w:rFonts w:hint="eastAsia" w:ascii="黑体" w:hAnsi="黑体" w:eastAsia="黑体" w:cs="黑体"/>
              <w:szCs w:val="32"/>
            </w:rPr>
            <w:t>五、舆情风险</w:t>
          </w:r>
          <w:r>
            <w:tab/>
          </w:r>
          <w:r>
            <w:fldChar w:fldCharType="begin"/>
          </w:r>
          <w:r>
            <w:instrText xml:space="preserve"> PAGEREF _Toc6668 \h </w:instrText>
          </w:r>
          <w:r>
            <w:fldChar w:fldCharType="separate"/>
          </w:r>
          <w:r>
            <w:t>24</w:t>
          </w:r>
          <w:r>
            <w:fldChar w:fldCharType="end"/>
          </w:r>
          <w:r>
            <w:rPr>
              <w:rFonts w:hint="eastAsia" w:ascii="仿宋_GB2312" w:hAnsi="仿宋_GB2312" w:eastAsia="仿宋_GB2312" w:cs="仿宋_GB2312"/>
              <w:szCs w:val="28"/>
            </w:rPr>
            <w:fldChar w:fldCharType="end"/>
          </w:r>
        </w:p>
        <w:p>
          <w:pPr>
            <w:pStyle w:val="10"/>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_Toc5777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rPr>
            <w:t>第七章 措施落实后风险等级预判</w:t>
          </w:r>
          <w:r>
            <w:tab/>
          </w:r>
          <w:r>
            <w:fldChar w:fldCharType="begin"/>
          </w:r>
          <w:r>
            <w:instrText xml:space="preserve"> PAGEREF _Toc5777 \h </w:instrText>
          </w:r>
          <w:r>
            <w:fldChar w:fldCharType="separate"/>
          </w:r>
          <w:r>
            <w:t>25</w:t>
          </w:r>
          <w:r>
            <w:fldChar w:fldCharType="end"/>
          </w:r>
          <w:r>
            <w:rPr>
              <w:rFonts w:hint="eastAsia" w:ascii="仿宋_GB2312" w:hAnsi="仿宋_GB2312" w:eastAsia="仿宋_GB2312" w:cs="仿宋_GB2312"/>
              <w:szCs w:val="28"/>
            </w:rPr>
            <w:fldChar w:fldCharType="end"/>
          </w:r>
        </w:p>
        <w:p>
          <w:pPr>
            <w:pStyle w:val="10"/>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_Toc5893 </w:instrText>
          </w:r>
          <w:r>
            <w:rPr>
              <w:rFonts w:hint="eastAsia" w:ascii="仿宋_GB2312" w:hAnsi="仿宋_GB2312" w:eastAsia="仿宋_GB2312" w:cs="仿宋_GB2312"/>
              <w:szCs w:val="28"/>
            </w:rPr>
            <w:fldChar w:fldCharType="separate"/>
          </w:r>
          <w:r>
            <w:rPr>
              <w:rFonts w:hint="eastAsia" w:ascii="方正小标宋_GBK" w:hAnsi="方正小标宋_GBK" w:eastAsia="方正小标宋_GBK" w:cs="方正小标宋_GBK"/>
              <w:szCs w:val="44"/>
            </w:rPr>
            <w:t>第八章  应急处置预案</w:t>
          </w:r>
          <w:r>
            <w:tab/>
          </w:r>
          <w:r>
            <w:fldChar w:fldCharType="begin"/>
          </w:r>
          <w:r>
            <w:instrText xml:space="preserve"> PAGEREF _Toc5893 \h </w:instrText>
          </w:r>
          <w:r>
            <w:fldChar w:fldCharType="separate"/>
          </w:r>
          <w:r>
            <w:t>27</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_Toc13965 </w:instrText>
          </w:r>
          <w:r>
            <w:rPr>
              <w:rFonts w:hint="eastAsia" w:ascii="仿宋_GB2312" w:hAnsi="仿宋_GB2312" w:eastAsia="仿宋_GB2312" w:cs="仿宋_GB2312"/>
              <w:szCs w:val="28"/>
            </w:rPr>
            <w:fldChar w:fldCharType="separate"/>
          </w:r>
          <w:r>
            <w:rPr>
              <w:rFonts w:hint="eastAsia" w:ascii="黑体" w:hAnsi="黑体" w:eastAsia="黑体" w:cs="黑体"/>
              <w:szCs w:val="32"/>
            </w:rPr>
            <w:t>一、基本要求</w:t>
          </w:r>
          <w:r>
            <w:tab/>
          </w:r>
          <w:r>
            <w:fldChar w:fldCharType="begin"/>
          </w:r>
          <w:r>
            <w:instrText xml:space="preserve"> PAGEREF _Toc13965 \h </w:instrText>
          </w:r>
          <w:r>
            <w:fldChar w:fldCharType="separate"/>
          </w:r>
          <w:r>
            <w:t>27</w:t>
          </w:r>
          <w:r>
            <w:fldChar w:fldCharType="end"/>
          </w:r>
          <w:r>
            <w:rPr>
              <w:rFonts w:hint="eastAsia" w:ascii="仿宋_GB2312" w:hAnsi="仿宋_GB2312" w:eastAsia="仿宋_GB2312" w:cs="仿宋_GB2312"/>
              <w:szCs w:val="28"/>
            </w:rPr>
            <w:fldChar w:fldCharType="end"/>
          </w:r>
        </w:p>
        <w:p>
          <w:pPr>
            <w:pStyle w:val="11"/>
            <w:tabs>
              <w:tab w:val="right" w:leader="dot" w:pos="8306"/>
            </w:tabs>
          </w:pPr>
          <w:r>
            <w:rPr>
              <w:rFonts w:hint="eastAsia" w:ascii="仿宋_GB2312" w:hAnsi="仿宋_GB2312" w:eastAsia="仿宋_GB2312" w:cs="仿宋_GB2312"/>
              <w:szCs w:val="28"/>
            </w:rPr>
            <w:fldChar w:fldCharType="begin"/>
          </w:r>
          <w:r>
            <w:rPr>
              <w:rFonts w:hint="eastAsia" w:ascii="仿宋_GB2312" w:hAnsi="仿宋_GB2312" w:eastAsia="仿宋_GB2312" w:cs="仿宋_GB2312"/>
              <w:szCs w:val="28"/>
            </w:rPr>
            <w:instrText xml:space="preserve"> HYPERLINK \l _Toc11385 </w:instrText>
          </w:r>
          <w:r>
            <w:rPr>
              <w:rFonts w:hint="eastAsia" w:ascii="仿宋_GB2312" w:hAnsi="仿宋_GB2312" w:eastAsia="仿宋_GB2312" w:cs="仿宋_GB2312"/>
              <w:szCs w:val="28"/>
            </w:rPr>
            <w:fldChar w:fldCharType="separate"/>
          </w:r>
          <w:r>
            <w:rPr>
              <w:rFonts w:hint="eastAsia" w:ascii="黑体" w:hAnsi="黑体" w:eastAsia="黑体" w:cs="黑体"/>
              <w:szCs w:val="32"/>
            </w:rPr>
            <w:t>二、应急措施</w:t>
          </w:r>
          <w:r>
            <w:tab/>
          </w:r>
          <w:r>
            <w:fldChar w:fldCharType="begin"/>
          </w:r>
          <w:r>
            <w:instrText xml:space="preserve"> PAGEREF _Toc11385 \h </w:instrText>
          </w:r>
          <w:r>
            <w:fldChar w:fldCharType="separate"/>
          </w:r>
          <w:r>
            <w:t>28</w:t>
          </w:r>
          <w:r>
            <w:fldChar w:fldCharType="end"/>
          </w:r>
          <w:r>
            <w:rPr>
              <w:rFonts w:hint="eastAsia" w:ascii="仿宋_GB2312" w:hAnsi="仿宋_GB2312" w:eastAsia="仿宋_GB2312" w:cs="仿宋_GB2312"/>
              <w:szCs w:val="28"/>
            </w:rPr>
            <w:fldChar w:fldCharType="end"/>
          </w:r>
        </w:p>
        <w:p>
          <w:pPr>
            <w:spacing w:line="400" w:lineRule="exact"/>
            <w:rPr>
              <w:rFonts w:ascii="黑体" w:hAnsi="黑体" w:eastAsia="黑体" w:cs="黑体"/>
              <w:sz w:val="32"/>
              <w:szCs w:val="32"/>
            </w:rPr>
          </w:pPr>
          <w:r>
            <w:rPr>
              <w:rFonts w:hint="eastAsia" w:ascii="仿宋_GB2312" w:hAnsi="仿宋_GB2312" w:eastAsia="仿宋_GB2312" w:cs="仿宋_GB2312"/>
              <w:szCs w:val="28"/>
            </w:rPr>
            <w:fldChar w:fldCharType="end"/>
          </w:r>
        </w:p>
      </w:sdtContent>
    </w:sdt>
    <w:p>
      <w:pPr>
        <w:spacing w:line="800" w:lineRule="exact"/>
        <w:rPr>
          <w:rFonts w:ascii="黑体" w:hAnsi="黑体" w:eastAsia="黑体" w:cs="黑体"/>
          <w:sz w:val="32"/>
          <w:szCs w:val="32"/>
        </w:rPr>
        <w:sectPr>
          <w:pgSz w:w="11906" w:h="16838"/>
          <w:pgMar w:top="1440" w:right="1800" w:bottom="1440" w:left="1800" w:header="851" w:footer="992" w:gutter="0"/>
          <w:cols w:space="425" w:num="1"/>
          <w:docGrid w:type="lines" w:linePitch="312" w:charSpace="0"/>
        </w:sectPr>
      </w:pPr>
    </w:p>
    <w:p>
      <w:pPr>
        <w:spacing w:line="560" w:lineRule="exact"/>
        <w:jc w:val="center"/>
        <w:outlineLvl w:val="0"/>
        <w:rPr>
          <w:rFonts w:ascii="方正小标宋_GBK" w:hAnsi="方正小标宋_GBK" w:eastAsia="方正小标宋_GBK" w:cs="方正小标宋_GBK"/>
          <w:sz w:val="44"/>
          <w:szCs w:val="44"/>
        </w:rPr>
      </w:pPr>
      <w:bookmarkStart w:id="0" w:name="_Toc31948"/>
      <w:bookmarkStart w:id="1" w:name="_Toc10781"/>
      <w:r>
        <w:rPr>
          <w:rFonts w:hint="eastAsia" w:ascii="方正小标宋_GBK" w:hAnsi="方正小标宋_GBK" w:eastAsia="方正小标宋_GBK" w:cs="方正小标宋_GBK"/>
          <w:sz w:val="44"/>
          <w:szCs w:val="44"/>
        </w:rPr>
        <w:t>前  言</w:t>
      </w:r>
      <w:bookmarkEnd w:id="0"/>
      <w:bookmarkEnd w:id="1"/>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李沧</w:t>
      </w:r>
      <w:r>
        <w:rPr>
          <w:rFonts w:hint="eastAsia" w:ascii="仿宋_GB2312" w:hAnsi="仿宋_GB2312" w:eastAsia="仿宋_GB2312" w:cs="仿宋_GB2312"/>
          <w:sz w:val="32"/>
          <w:szCs w:val="32"/>
        </w:rPr>
        <w:t>区民政局对《李沧区关于推进基本养老服务体系建设的实施意见》（以下简称《实施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进行了风险评估。组建风险评估组，按照《青岛市重大行政决策程序规定》《青岛市李沧区重大行政决策程序规定》相关要求，结合前期进行的公众意见征求、部门意见征集、专家评审等工作，风险评估组开展了专家论证、文献资料收集分析，识别了主要利益相关者及其意见与诉求，全面排查了《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在社会稳定、生态环境、公共安全、财政金融及舆情等5个方面可能存在的风险点，识别出了社会稳定风险、财政金融风险、公共安全风险、生态环境风险、舆情风险五大类主要风险因素，并对风险等级进行了分析研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经评估，《实施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》在社会稳定风险、生态环境风险、公共安全风险、财政金融风险方面均为低风险，舆情风险为中风险，综合研判《实施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》整体风险等级为低风险。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为了降低《实施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》的实施风险，</w:t>
      </w:r>
      <w:r>
        <w:rPr>
          <w:rFonts w:hint="eastAsia" w:ascii="仿宋_GB2312" w:hAnsi="仿宋_GB2312" w:eastAsia="仿宋_GB2312" w:cs="仿宋_GB2312"/>
          <w:sz w:val="32"/>
          <w:szCs w:val="32"/>
          <w:lang w:val="en-US" w:eastAsia="zh-CN"/>
        </w:rPr>
        <w:t>李沧</w:t>
      </w:r>
      <w:r>
        <w:rPr>
          <w:rFonts w:hint="eastAsia" w:ascii="仿宋_GB2312" w:hAnsi="仿宋_GB2312" w:eastAsia="仿宋_GB2312" w:cs="仿宋_GB2312"/>
          <w:sz w:val="32"/>
          <w:szCs w:val="32"/>
        </w:rPr>
        <w:t>区民政局制定了相应的风险防范和化解措施，以及与之配套的应急处置预案，可以有效防控各类风险发生。</w:t>
      </w:r>
    </w:p>
    <w:p>
      <w:pPr>
        <w:spacing w:line="560" w:lineRule="exact"/>
        <w:rPr>
          <w:rFonts w:ascii="仿宋_GB2312" w:hAnsi="仿宋_GB2312" w:eastAsia="仿宋_GB2312" w:cs="仿宋_GB2312"/>
          <w:sz w:val="32"/>
          <w:szCs w:val="32"/>
        </w:rPr>
        <w:sectPr>
          <w:pgSz w:w="11906" w:h="16838"/>
          <w:pgMar w:top="1440" w:right="1800" w:bottom="1440" w:left="1800" w:header="851" w:footer="992" w:gutter="0"/>
          <w:cols w:space="425" w:num="1"/>
          <w:docGrid w:type="lines" w:linePitch="312" w:charSpace="0"/>
        </w:sectPr>
      </w:pPr>
    </w:p>
    <w:p>
      <w:pPr>
        <w:spacing w:line="560" w:lineRule="exact"/>
        <w:jc w:val="center"/>
        <w:outlineLvl w:val="0"/>
        <w:rPr>
          <w:rFonts w:ascii="方正小标宋_GBK" w:hAnsi="方正小标宋_GBK" w:eastAsia="方正小标宋_GBK" w:cs="方正小标宋_GBK"/>
          <w:sz w:val="44"/>
          <w:szCs w:val="44"/>
        </w:rPr>
      </w:pPr>
      <w:bookmarkStart w:id="2" w:name="_Toc20061"/>
      <w:r>
        <w:rPr>
          <w:rFonts w:hint="eastAsia" w:ascii="方正小标宋_GBK" w:hAnsi="方正小标宋_GBK" w:eastAsia="方正小标宋_GBK" w:cs="方正小标宋_GBK"/>
          <w:sz w:val="44"/>
          <w:szCs w:val="44"/>
        </w:rPr>
        <w:t>第一章 《实施</w:t>
      </w:r>
      <w:r>
        <w:rPr>
          <w:rFonts w:hint="eastAsia" w:ascii="方正小标宋_GBK" w:hAnsi="方正小标宋_GBK" w:eastAsia="方正小标宋_GBK" w:cs="方正小标宋_GBK"/>
          <w:sz w:val="44"/>
          <w:szCs w:val="44"/>
          <w:lang w:val="en-US" w:eastAsia="zh-CN"/>
        </w:rPr>
        <w:t>意见</w:t>
      </w:r>
      <w:r>
        <w:rPr>
          <w:rFonts w:hint="eastAsia" w:ascii="方正小标宋_GBK" w:hAnsi="方正小标宋_GBK" w:eastAsia="方正小标宋_GBK" w:cs="方正小标宋_GBK"/>
          <w:sz w:val="44"/>
          <w:szCs w:val="44"/>
        </w:rPr>
        <w:t>》基本情况</w:t>
      </w:r>
      <w:bookmarkEnd w:id="2"/>
    </w:p>
    <w:p>
      <w:pPr>
        <w:spacing w:line="560" w:lineRule="exact"/>
        <w:jc w:val="center"/>
        <w:rPr>
          <w:rFonts w:ascii="仿宋_GB2312" w:hAnsi="仿宋_GB2312" w:eastAsia="仿宋_GB2312" w:cs="仿宋_GB2312"/>
          <w:sz w:val="32"/>
          <w:szCs w:val="32"/>
        </w:rPr>
      </w:pPr>
    </w:p>
    <w:p>
      <w:pPr>
        <w:spacing w:line="560" w:lineRule="exact"/>
        <w:ind w:firstLine="640" w:firstLineChars="200"/>
        <w:outlineLvl w:val="1"/>
        <w:rPr>
          <w:rFonts w:ascii="黑体" w:hAnsi="黑体" w:eastAsia="黑体" w:cs="黑体"/>
          <w:sz w:val="32"/>
          <w:szCs w:val="32"/>
        </w:rPr>
      </w:pPr>
      <w:bookmarkStart w:id="3" w:name="_Toc22273"/>
      <w:bookmarkStart w:id="4" w:name="_Toc30017"/>
      <w:r>
        <w:rPr>
          <w:rFonts w:hint="eastAsia" w:ascii="黑体" w:hAnsi="黑体" w:eastAsia="黑体" w:cs="黑体"/>
          <w:sz w:val="32"/>
          <w:szCs w:val="32"/>
        </w:rPr>
        <w:t>一、编制背景</w:t>
      </w:r>
      <w:bookmarkEnd w:id="3"/>
      <w:bookmarkEnd w:id="4"/>
    </w:p>
    <w:p>
      <w:pPr>
        <w:spacing w:line="560" w:lineRule="exact"/>
        <w:ind w:firstLine="640" w:firstLineChars="200"/>
        <w:rPr>
          <w:rFonts w:ascii="仿宋_GB2312" w:hAnsi="仿宋_GB2312" w:eastAsia="仿宋_GB2312" w:cs="仿宋_GB2312"/>
          <w:sz w:val="32"/>
          <w:szCs w:val="32"/>
        </w:rPr>
      </w:pPr>
      <w:bookmarkStart w:id="5" w:name="_Toc26512"/>
      <w:r>
        <w:rPr>
          <w:rFonts w:hint="eastAsia" w:ascii="仿宋_GB2312" w:hAnsi="仿宋_GB2312" w:eastAsia="仿宋_GB2312" w:cs="仿宋_GB2312"/>
          <w:sz w:val="32"/>
          <w:szCs w:val="32"/>
        </w:rPr>
        <w:t>为深入贯彻习近平新时代中国特色社会主义思想，全面落实党的二十大及二十届一中、二中全会精神，按照区委区政府工作要求，积极实施应对人口老龄化国家战略，以老年人的需求为导向，以高质量发展为主题，紧紧围绕“让所有老年人都能有一个幸福美满的晚年”这一总目标，认真贯彻落实国务院、省、市养老工作部署，努力构建居家社区机构相协调、医养康养相结合的养老服务体系，着力打造“</w:t>
      </w:r>
      <w:r>
        <w:rPr>
          <w:rFonts w:hint="eastAsia" w:ascii="仿宋_GB2312" w:hAnsi="仿宋_GB2312" w:eastAsia="仿宋_GB2312" w:cs="仿宋_GB2312"/>
          <w:sz w:val="32"/>
          <w:szCs w:val="32"/>
          <w:lang w:val="en-US" w:eastAsia="zh-CN"/>
        </w:rPr>
        <w:t>颐养李沧</w:t>
      </w:r>
      <w:r>
        <w:rPr>
          <w:rFonts w:hint="eastAsia" w:ascii="仿宋_GB2312" w:hAnsi="仿宋_GB2312" w:eastAsia="仿宋_GB2312" w:cs="仿宋_GB2312"/>
          <w:sz w:val="32"/>
          <w:szCs w:val="32"/>
        </w:rPr>
        <w:t>”养老服务品牌，不断提升全区老年群体获得感、幸福感、安全感。</w:t>
      </w:r>
    </w:p>
    <w:p>
      <w:pPr>
        <w:spacing w:line="560" w:lineRule="exact"/>
        <w:ind w:firstLine="640" w:firstLineChars="200"/>
        <w:outlineLvl w:val="1"/>
        <w:rPr>
          <w:rFonts w:ascii="黑体" w:hAnsi="黑体" w:eastAsia="黑体" w:cs="黑体"/>
          <w:sz w:val="32"/>
          <w:szCs w:val="32"/>
        </w:rPr>
      </w:pPr>
      <w:bookmarkStart w:id="6" w:name="_Toc25180"/>
      <w:r>
        <w:rPr>
          <w:rFonts w:hint="eastAsia" w:ascii="黑体" w:hAnsi="黑体" w:eastAsia="黑体" w:cs="黑体"/>
          <w:sz w:val="32"/>
          <w:szCs w:val="32"/>
        </w:rPr>
        <w:t>二、编制过程</w:t>
      </w:r>
      <w:bookmarkEnd w:id="5"/>
      <w:bookmarkEnd w:id="6"/>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2023年3月，根据省、市文件精神及养老服务工作的要求，并结合</w:t>
      </w:r>
      <w:r>
        <w:rPr>
          <w:rFonts w:hint="eastAsia" w:ascii="仿宋_GB2312" w:hAnsi="仿宋_GB2312" w:eastAsia="仿宋_GB2312" w:cs="仿宋_GB2312"/>
          <w:sz w:val="32"/>
          <w:szCs w:val="32"/>
          <w:lang w:val="en-US" w:eastAsia="zh-CN"/>
        </w:rPr>
        <w:t>李沧</w:t>
      </w:r>
      <w:r>
        <w:rPr>
          <w:rFonts w:hint="eastAsia" w:ascii="仿宋_GB2312" w:hAnsi="仿宋_GB2312" w:eastAsia="仿宋_GB2312" w:cs="仿宋_GB2312"/>
          <w:sz w:val="32"/>
          <w:szCs w:val="32"/>
        </w:rPr>
        <w:t>区实际情况，区民政局正式启动《实施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》编制工作。3月至</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月，区民政局对提升</w:t>
      </w:r>
      <w:r>
        <w:rPr>
          <w:rFonts w:ascii="仿宋_GB2312" w:hAnsi="仿宋_GB2312" w:eastAsia="仿宋_GB2312" w:cs="仿宋_GB2312"/>
          <w:sz w:val="32"/>
          <w:szCs w:val="32"/>
        </w:rPr>
        <w:t>养老服务体系建设</w:t>
      </w:r>
      <w:r>
        <w:rPr>
          <w:rFonts w:hint="eastAsia" w:ascii="仿宋_GB2312" w:hAnsi="仿宋_GB2312" w:eastAsia="仿宋_GB2312" w:cs="仿宋_GB2312"/>
          <w:sz w:val="32"/>
          <w:szCs w:val="32"/>
        </w:rPr>
        <w:t>水平</w:t>
      </w:r>
      <w:r>
        <w:rPr>
          <w:rFonts w:ascii="仿宋_GB2312" w:hAnsi="仿宋_GB2312" w:eastAsia="仿宋_GB2312" w:cs="仿宋_GB2312"/>
          <w:sz w:val="32"/>
          <w:szCs w:val="32"/>
        </w:rPr>
        <w:t>开展</w:t>
      </w:r>
      <w:r>
        <w:rPr>
          <w:rFonts w:hint="eastAsia" w:ascii="仿宋_GB2312" w:hAnsi="仿宋_GB2312" w:eastAsia="仿宋_GB2312" w:cs="仿宋_GB2312"/>
          <w:sz w:val="32"/>
          <w:szCs w:val="32"/>
        </w:rPr>
        <w:t>多轮调研，结合当前我区养老服务工作现状及存在的问题，对《实施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》进行修改完善，并征求相关部门的意见，对部分</w:t>
      </w:r>
      <w:r>
        <w:rPr>
          <w:rFonts w:ascii="仿宋_GB2312" w:hAnsi="仿宋_GB2312" w:eastAsia="仿宋_GB2312" w:cs="仿宋_GB2312"/>
          <w:sz w:val="32"/>
          <w:szCs w:val="32"/>
        </w:rPr>
        <w:t>部门</w:t>
      </w:r>
      <w:r>
        <w:rPr>
          <w:rFonts w:hint="eastAsia" w:ascii="仿宋_GB2312" w:hAnsi="仿宋_GB2312" w:eastAsia="仿宋_GB2312" w:cs="仿宋_GB2312"/>
          <w:sz w:val="32"/>
          <w:szCs w:val="32"/>
        </w:rPr>
        <w:t>提出的意见逐条对接研判并采纳，继续完善《实施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》，形成编制工作初步成果。</w:t>
      </w:r>
    </w:p>
    <w:p>
      <w:pPr>
        <w:spacing w:line="560" w:lineRule="exact"/>
        <w:ind w:firstLine="640" w:firstLineChars="200"/>
        <w:outlineLvl w:val="1"/>
        <w:rPr>
          <w:rFonts w:ascii="黑体" w:hAnsi="黑体" w:eastAsia="黑体" w:cs="黑体"/>
          <w:sz w:val="32"/>
          <w:szCs w:val="32"/>
        </w:rPr>
      </w:pPr>
      <w:bookmarkStart w:id="7" w:name="_Toc35"/>
      <w:bookmarkStart w:id="8" w:name="_Toc15052"/>
      <w:r>
        <w:rPr>
          <w:rFonts w:hint="eastAsia" w:ascii="黑体" w:hAnsi="黑体" w:eastAsia="黑体" w:cs="黑体"/>
          <w:sz w:val="32"/>
          <w:szCs w:val="32"/>
        </w:rPr>
        <w:t>三、《实施意见》主要内容</w:t>
      </w:r>
      <w:bookmarkEnd w:id="7"/>
      <w:bookmarkEnd w:id="8"/>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》共</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部分</w:t>
      </w:r>
      <w:r>
        <w:rPr>
          <w:rFonts w:hint="eastAsia" w:ascii="仿宋_GB2312" w:hAnsi="仿宋_GB2312" w:eastAsia="仿宋_GB2312" w:cs="仿宋_GB2312"/>
          <w:sz w:val="32"/>
          <w:szCs w:val="32"/>
          <w:lang w:val="en-US" w:eastAsia="zh-CN"/>
        </w:rPr>
        <w:t>20条</w:t>
      </w:r>
      <w:r>
        <w:rPr>
          <w:rFonts w:hint="eastAsia" w:ascii="仿宋_GB2312" w:hAnsi="仿宋_GB2312" w:eastAsia="仿宋_GB2312" w:cs="仿宋_GB2312"/>
          <w:sz w:val="32"/>
          <w:szCs w:val="32"/>
        </w:rPr>
        <w:t>。</w:t>
      </w:r>
    </w:p>
    <w:p>
      <w:pPr>
        <w:pStyle w:val="12"/>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第一部分：强化需求导向，建立健全基本养老服务制度</w:t>
      </w:r>
    </w:p>
    <w:p>
      <w:pPr>
        <w:pStyle w:val="12"/>
        <w:keepNext w:val="0"/>
        <w:keepLines w:val="0"/>
        <w:pageBreakBefore w:val="0"/>
        <w:kinsoku/>
        <w:wordWrap/>
        <w:topLinePunct w:val="0"/>
        <w:autoSpaceDE w:val="0"/>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rPr>
      </w:pPr>
      <w:r>
        <w:rPr>
          <w:rFonts w:ascii="仿宋_GB2312" w:eastAsia="仿宋_GB2312"/>
          <w:sz w:val="32"/>
          <w:szCs w:val="32"/>
        </w:rPr>
        <w:t>1.</w:t>
      </w:r>
      <w:r>
        <w:rPr>
          <w:rFonts w:hint="eastAsia" w:ascii="仿宋_GB2312" w:eastAsia="仿宋_GB2312"/>
          <w:sz w:val="32"/>
          <w:szCs w:val="32"/>
        </w:rPr>
        <w:t>明确服务对象和保障内容。基本养老服务是</w:t>
      </w:r>
      <w:r>
        <w:rPr>
          <w:rFonts w:hint="eastAsia" w:ascii="仿宋_GB2312" w:eastAsia="仿宋_GB2312"/>
          <w:sz w:val="32"/>
          <w:szCs w:val="32"/>
          <w:lang w:val="en-US" w:eastAsia="zh-CN"/>
        </w:rPr>
        <w:t>由政府直接提供或者通过一定方式支持相关主体向全体老年人提供的</w:t>
      </w:r>
      <w:r>
        <w:rPr>
          <w:rFonts w:hint="eastAsia" w:ascii="仿宋_GB2312" w:eastAsia="仿宋_GB2312"/>
          <w:sz w:val="32"/>
          <w:szCs w:val="32"/>
        </w:rPr>
        <w:t>基础性、普惠性、兜底性服务</w:t>
      </w:r>
      <w:r>
        <w:rPr>
          <w:rFonts w:hint="eastAsia" w:ascii="仿宋_GB2312" w:eastAsia="仿宋_GB2312"/>
          <w:sz w:val="32"/>
          <w:szCs w:val="32"/>
          <w:lang w:eastAsia="zh-CN"/>
        </w:rPr>
        <w:t>。</w:t>
      </w:r>
      <w:r>
        <w:rPr>
          <w:rFonts w:hint="eastAsia" w:ascii="仿宋_GB2312" w:eastAsia="仿宋_GB2312"/>
          <w:sz w:val="32"/>
          <w:szCs w:val="32"/>
        </w:rPr>
        <w:t>重点聚焦老年人面临</w:t>
      </w:r>
      <w:r>
        <w:rPr>
          <w:rFonts w:hint="eastAsia" w:ascii="仿宋_GB2312" w:eastAsia="仿宋_GB2312"/>
          <w:sz w:val="32"/>
          <w:szCs w:val="32"/>
          <w:lang w:val="en-US" w:eastAsia="zh-CN"/>
        </w:rPr>
        <w:t>家庭和个人难以应对的</w:t>
      </w:r>
      <w:r>
        <w:rPr>
          <w:rFonts w:hint="eastAsia" w:ascii="仿宋_GB2312" w:eastAsia="仿宋_GB2312"/>
          <w:sz w:val="32"/>
          <w:szCs w:val="32"/>
        </w:rPr>
        <w:t>失能、失智、残疾、无人照顾等困难时的基本养老服务需求。落实特困老年人救助供养制度，对有集中供养意愿的特困老年人实行集中供养。落实经济困难老年人补贴制度。落实困难老年人入住养老机构补贴制度。通过政府购买服务等方式为部分困难老年人提供专业化居家养老服务。建立特殊困难老年人探访关爱制度及委托服务制度，为有需求的老年人代为办理入住养老机构、就医等服务。</w:t>
      </w:r>
      <w:r>
        <w:rPr>
          <w:rFonts w:hint="eastAsia" w:ascii="仿宋_GB2312" w:eastAsia="仿宋_GB2312"/>
          <w:sz w:val="32"/>
          <w:szCs w:val="32"/>
          <w:lang w:val="en-US" w:eastAsia="zh-CN"/>
        </w:rPr>
        <w:t>落实老年人优待制度。</w:t>
      </w:r>
    </w:p>
    <w:p>
      <w:pPr>
        <w:pStyle w:val="12"/>
        <w:keepNext w:val="0"/>
        <w:keepLines w:val="0"/>
        <w:pageBreakBefore w:val="0"/>
        <w:kinsoku/>
        <w:wordWrap/>
        <w:topLinePunct w:val="0"/>
        <w:autoSpaceDE w:val="0"/>
        <w:autoSpaceDN/>
        <w:bidi w:val="0"/>
        <w:adjustRightInd/>
        <w:snapToGrid/>
        <w:spacing w:before="0" w:beforeAutospacing="0" w:after="0" w:afterAutospacing="0" w:line="560" w:lineRule="exact"/>
        <w:ind w:firstLine="640" w:firstLineChars="200"/>
        <w:jc w:val="both"/>
        <w:textAlignment w:val="auto"/>
        <w:rPr>
          <w:rFonts w:hint="default" w:ascii="楷体_GB2312" w:hAnsi="楷体_GB2312" w:eastAsia="楷体_GB2312" w:cs="楷体_GB2312"/>
          <w:sz w:val="32"/>
          <w:szCs w:val="32"/>
          <w:lang w:val="en-US" w:eastAsia="zh-CN"/>
        </w:rPr>
      </w:pPr>
      <w:r>
        <w:rPr>
          <w:rFonts w:hint="eastAsia" w:ascii="仿宋_GB2312" w:eastAsia="仿宋_GB2312"/>
          <w:sz w:val="32"/>
          <w:szCs w:val="32"/>
        </w:rPr>
        <w:t>2.制定落实服务清单。制定发布《李沧区基本养老服务清单》,明确具体服务对象、内容、标准等，并根据全区经济社会发展水平、财力状况等因素动态调整清单。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建立主动响应机制。建立老年人状况统计调查制度，开展老年人能力等级评估，健全困难老年人精准识别和动态管理机制，加强与常住人口、服务半径挂钩的</w:t>
      </w:r>
      <w:r>
        <w:rPr>
          <w:rFonts w:hint="eastAsia" w:ascii="仿宋_GB2312" w:eastAsia="仿宋_GB2312"/>
          <w:sz w:val="32"/>
          <w:szCs w:val="32"/>
          <w:lang w:val="en-US" w:eastAsia="zh-CN"/>
        </w:rPr>
        <w:t>互动</w:t>
      </w:r>
      <w:r>
        <w:rPr>
          <w:rFonts w:hint="eastAsia" w:ascii="仿宋_GB2312" w:eastAsia="仿宋_GB2312"/>
          <w:sz w:val="32"/>
          <w:szCs w:val="32"/>
        </w:rPr>
        <w:t>响应。建立养老顾问制度，</w:t>
      </w:r>
      <w:r>
        <w:rPr>
          <w:rFonts w:hint="eastAsia" w:ascii="仿宋_GB2312" w:eastAsia="仿宋_GB2312"/>
          <w:bCs/>
          <w:iCs/>
          <w:sz w:val="32"/>
          <w:szCs w:val="32"/>
        </w:rPr>
        <w:t>将基层养老工作人员作为养老顾问的基本力量，</w:t>
      </w:r>
      <w:r>
        <w:rPr>
          <w:rFonts w:hint="eastAsia" w:ascii="仿宋_GB2312" w:eastAsia="仿宋_GB2312"/>
          <w:sz w:val="32"/>
          <w:szCs w:val="32"/>
        </w:rPr>
        <w:t>通过培训增强养老业务能力，帮助老年人及时方便获取养老服务资源。</w:t>
      </w:r>
    </w:p>
    <w:p>
      <w:pPr>
        <w:pStyle w:val="12"/>
        <w:autoSpaceDE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第二部分：优化发展布局，加强基本养老服务设施建设</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楷体_GB2312" w:hAnsi="楷体_GB2312" w:eastAsia="楷体_GB2312" w:cs="楷体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.加强社区养老服务设施配建。新建城镇居住区按照每百户不低于</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平方米的标准配套建设社区养老服务设施。已建成城镇居住区未配套建设或者已配建社区养老服务设施不符合规定要求的，</w:t>
      </w:r>
      <w:r>
        <w:rPr>
          <w:rFonts w:hint="eastAsia" w:ascii="仿宋_GB2312" w:hAnsi="仿宋_GB2312" w:eastAsia="仿宋_GB2312" w:cs="仿宋_GB2312"/>
          <w:sz w:val="32"/>
          <w:szCs w:val="32"/>
          <w:lang w:val="en-US" w:eastAsia="zh-CN"/>
        </w:rPr>
        <w:t>可</w:t>
      </w:r>
      <w:r>
        <w:rPr>
          <w:rFonts w:hint="eastAsia" w:ascii="仿宋_GB2312" w:hAnsi="仿宋_GB2312" w:eastAsia="仿宋_GB2312" w:cs="仿宋_GB2312"/>
          <w:sz w:val="32"/>
          <w:szCs w:val="32"/>
        </w:rPr>
        <w:t>通过新建、改建、购置、置换、租赁等方式，按照每百户不低于</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平方米的标准配置。</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加强设施适老化改造。实施困难老年人家庭适老化改造工程。</w:t>
      </w:r>
      <w:r>
        <w:rPr>
          <w:rFonts w:ascii="仿宋_GB2312" w:hAnsi="仿宋_GB2312" w:eastAsia="仿宋_GB2312" w:cs="仿宋_GB2312"/>
          <w:sz w:val="32"/>
          <w:szCs w:val="32"/>
        </w:rPr>
        <w:t>推进</w:t>
      </w:r>
      <w:r>
        <w:rPr>
          <w:rFonts w:hint="eastAsia" w:ascii="仿宋_GB2312" w:hAnsi="仿宋_GB2312" w:eastAsia="仿宋_GB2312" w:cs="仿宋_GB2312"/>
          <w:sz w:val="32"/>
          <w:szCs w:val="32"/>
        </w:rPr>
        <w:t>道路设施、休憩设施、信息化设施等</w:t>
      </w:r>
      <w:r>
        <w:rPr>
          <w:rFonts w:ascii="仿宋_GB2312" w:hAnsi="仿宋_GB2312" w:eastAsia="仿宋_GB2312" w:cs="仿宋_GB2312"/>
          <w:sz w:val="32"/>
          <w:szCs w:val="32"/>
        </w:rPr>
        <w:t>与老年人生活密切相关的公共服务设施改造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shd w:val="clear" w:color="auto" w:fill="FFFFFF"/>
        </w:rPr>
        <w:t>加大对坡道、楼梯、电梯、扶手等公共建筑的改造，</w:t>
      </w:r>
      <w:r>
        <w:rPr>
          <w:rFonts w:ascii="仿宋_GB2312" w:hAnsi="仿宋_GB2312" w:eastAsia="仿宋_GB2312" w:cs="仿宋_GB2312"/>
          <w:sz w:val="32"/>
          <w:szCs w:val="32"/>
        </w:rPr>
        <w:t>为老年人提供安全、便利、舒适的生活环境</w:t>
      </w:r>
      <w:r>
        <w:rPr>
          <w:rFonts w:hint="eastAsia" w:ascii="仿宋_GB2312" w:hAnsi="仿宋_GB2312" w:eastAsia="仿宋_GB2312" w:cs="仿宋_GB2312"/>
          <w:sz w:val="32"/>
          <w:szCs w:val="32"/>
        </w:rPr>
        <w:t>。实施口袋公园适老化建设改造行动，为老年人打造更多更好</w:t>
      </w:r>
      <w:r>
        <w:rPr>
          <w:rFonts w:hint="eastAsia" w:ascii="仿宋_GB2312" w:hAnsi="仿宋_GB2312" w:eastAsia="仿宋_GB2312" w:cs="仿宋_GB2312"/>
          <w:bCs/>
          <w:iCs/>
          <w:sz w:val="32"/>
          <w:szCs w:val="32"/>
        </w:rPr>
        <w:t>的</w:t>
      </w:r>
      <w:r>
        <w:rPr>
          <w:rFonts w:hint="eastAsia" w:ascii="仿宋_GB2312" w:hAnsi="仿宋_GB2312" w:eastAsia="仿宋_GB2312" w:cs="仿宋_GB2312"/>
          <w:sz w:val="32"/>
          <w:szCs w:val="32"/>
        </w:rPr>
        <w:t>生态休闲空间。</w:t>
      </w:r>
      <w:r>
        <w:rPr>
          <w:rFonts w:ascii="仿宋_GB2312" w:hAnsi="仿宋_GB2312" w:eastAsia="仿宋_GB2312" w:cs="仿宋_GB2312"/>
          <w:sz w:val="32"/>
          <w:szCs w:val="32"/>
        </w:rPr>
        <w:t>深入推进老旧小区改造</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优先支持</w:t>
      </w:r>
      <w:r>
        <w:rPr>
          <w:rFonts w:hint="eastAsia" w:ascii="仿宋_GB2312" w:hAnsi="仿宋_GB2312" w:eastAsia="仿宋_GB2312" w:cs="仿宋_GB2312"/>
          <w:sz w:val="32"/>
          <w:szCs w:val="32"/>
        </w:rPr>
        <w:t>为</w:t>
      </w:r>
      <w:r>
        <w:rPr>
          <w:rFonts w:ascii="仿宋_GB2312" w:hAnsi="仿宋_GB2312" w:eastAsia="仿宋_GB2312" w:cs="仿宋_GB2312"/>
          <w:sz w:val="32"/>
          <w:szCs w:val="32"/>
        </w:rPr>
        <w:t>老年人居住比例高的住宅加装电梯</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加强四级服务网络建设。建立健全区、街、社区、家庭四级养老服务设施网络，街道综合养老服务中心实现全覆盖</w:t>
      </w:r>
      <w:r>
        <w:rPr>
          <w:rFonts w:hint="eastAsia" w:ascii="仿宋_GB2312" w:hAnsi="仿宋_GB2312" w:eastAsia="仿宋_GB2312" w:cs="仿宋_GB2312"/>
          <w:sz w:val="32"/>
          <w:szCs w:val="32"/>
          <w:lang w:val="en-US" w:eastAsia="zh-CN"/>
        </w:rPr>
        <w:t>并完善提升</w:t>
      </w:r>
      <w:r>
        <w:rPr>
          <w:rFonts w:hint="eastAsia" w:ascii="仿宋_GB2312" w:hAnsi="仿宋_GB2312" w:eastAsia="仿宋_GB2312" w:cs="仿宋_GB2312"/>
          <w:sz w:val="32"/>
          <w:szCs w:val="32"/>
        </w:rPr>
        <w:t>，加强以助餐为主要功能的社区养老服务站建设，积极发展家庭养老床位，提升失能失智老年人居家养老服务水平，打造15分钟养老服务圈。</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val="en-US" w:eastAsia="zh-CN"/>
        </w:rPr>
        <w:t>部分：统筹多方资源，优化基本养老服务供给</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强化公办养老机构基础兜底作用。充分发挥</w:t>
      </w:r>
      <w:r>
        <w:rPr>
          <w:rFonts w:hint="eastAsia" w:ascii="仿宋_GB2312" w:hAnsi="仿宋_GB2312" w:eastAsia="仿宋_GB2312" w:cs="仿宋_GB2312"/>
          <w:sz w:val="32"/>
          <w:szCs w:val="32"/>
          <w:lang w:val="en-US" w:eastAsia="zh-CN"/>
        </w:rPr>
        <w:t>全区</w:t>
      </w:r>
      <w:r>
        <w:rPr>
          <w:rFonts w:hint="eastAsia" w:ascii="仿宋_GB2312" w:hAnsi="仿宋_GB2312" w:eastAsia="仿宋_GB2312" w:cs="仿宋_GB2312"/>
          <w:sz w:val="32"/>
          <w:szCs w:val="32"/>
        </w:rPr>
        <w:t>2所公办养老机构的公益属性，建立入住评估和轮候制度，在满足兜底保障需求基础上，优先保障经济困难的独居、空巢、留守、失能、重残、计划生育特殊家庭以及做出特殊贡献的老年人。现役军人家属和烈士、因公牺牲军人、病故军人的遗属，符合规定条件申请入住公办养老机构的，同等条件下优先安排。制定推进公办养老机构高质量发展有关措施</w:t>
      </w:r>
      <w:r>
        <w:rPr>
          <w:rFonts w:hint="eastAsia" w:ascii="仿宋_GB2312" w:hAnsi="仿宋_GB2312" w:eastAsia="仿宋_GB2312" w:cs="仿宋_GB2312"/>
          <w:bCs/>
          <w:iCs/>
          <w:sz w:val="32"/>
          <w:szCs w:val="32"/>
        </w:rPr>
        <w:t>，积极发挥公办养老机构的示范带动作用。</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培育优质养老机构。聚焦失能失智老年人长期照护需求，优先发展专业化、规模化、医养结合能力突出的养老机构，持续提高护理型床位和认知障碍照护床位比例。引导社会力量发展质量有保障、价格可接受、方便可触及的普惠性养老机构。</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优化提升居家社区养老服务。</w:t>
      </w:r>
      <w:r>
        <w:rPr>
          <w:rFonts w:hint="eastAsia" w:ascii="仿宋_GB2312" w:hAnsi="仿宋_GB2312" w:eastAsia="仿宋_GB2312" w:cs="仿宋_GB2312"/>
          <w:sz w:val="32"/>
          <w:szCs w:val="32"/>
          <w:lang w:eastAsia="zh-CN"/>
        </w:rPr>
        <w:t>各街道</w:t>
      </w:r>
      <w:r>
        <w:rPr>
          <w:rFonts w:hint="eastAsia" w:ascii="仿宋_GB2312" w:eastAsia="仿宋_GB2312"/>
          <w:sz w:val="32"/>
          <w:szCs w:val="32"/>
        </w:rPr>
        <w:t>负责本辖区内的养老服务工作，重点</w:t>
      </w:r>
      <w:r>
        <w:rPr>
          <w:rFonts w:hint="eastAsia" w:ascii="仿宋_GB2312" w:hAnsi="仿宋_GB2312" w:eastAsia="仿宋_GB2312" w:cs="仿宋_GB2312"/>
          <w:sz w:val="32"/>
          <w:szCs w:val="32"/>
        </w:rPr>
        <w:t>加强综合养老服务中心（站）的选址、建设、验收、评估等工作。</w:t>
      </w: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综合养老服务中心须具备医疗护理、生活照料、康复保健、长短期托养、助餐送餐、精神慰藉、康复辅具租赁等服务功能，持续提升居家养老上门服务能力。</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rPr>
      </w:pPr>
      <w:r>
        <w:rPr>
          <w:rFonts w:hint="eastAsia" w:ascii="仿宋_GB2312" w:hAnsi="仿宋_GB2312" w:eastAsia="仿宋_GB2312" w:cs="仿宋_GB2312"/>
          <w:sz w:val="32"/>
          <w:szCs w:val="32"/>
          <w:lang w:val="en-US" w:eastAsia="zh-CN"/>
        </w:rPr>
        <w:t>10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深入推进</w:t>
      </w:r>
      <w:r>
        <w:rPr>
          <w:rFonts w:hint="eastAsia" w:ascii="仿宋_GB2312" w:hAnsi="仿宋_GB2312" w:eastAsia="仿宋_GB2312" w:cs="仿宋_GB2312"/>
          <w:sz w:val="32"/>
          <w:szCs w:val="32"/>
          <w:lang w:val="en-US" w:eastAsia="zh-CN"/>
        </w:rPr>
        <w:t>为老</w:t>
      </w:r>
      <w:r>
        <w:rPr>
          <w:rFonts w:hint="eastAsia" w:ascii="仿宋_GB2312" w:hAnsi="仿宋_GB2312" w:eastAsia="仿宋_GB2312" w:cs="仿宋_GB2312"/>
          <w:sz w:val="32"/>
          <w:szCs w:val="32"/>
        </w:rPr>
        <w:t>助餐服务行动。构建覆盖全区的</w:t>
      </w:r>
      <w:r>
        <w:rPr>
          <w:rFonts w:hint="eastAsia" w:ascii="仿宋_GB2312" w:hAnsi="仿宋_GB2312" w:eastAsia="仿宋_GB2312" w:cs="仿宋_GB2312"/>
          <w:sz w:val="32"/>
          <w:szCs w:val="32"/>
          <w:lang w:val="en-US" w:eastAsia="zh-CN"/>
        </w:rPr>
        <w:t>为老</w:t>
      </w:r>
      <w:r>
        <w:rPr>
          <w:rFonts w:hint="eastAsia" w:ascii="仿宋_GB2312" w:hAnsi="仿宋_GB2312" w:eastAsia="仿宋_GB2312" w:cs="仿宋_GB2312"/>
          <w:sz w:val="32"/>
          <w:szCs w:val="32"/>
        </w:rPr>
        <w:t>助餐服务网络，加快推广数字支付信息化建设。建立</w:t>
      </w:r>
      <w:r>
        <w:rPr>
          <w:rFonts w:hint="eastAsia" w:ascii="仿宋_GB2312" w:hAnsi="仿宋_GB2312" w:eastAsia="仿宋_GB2312" w:cs="仿宋_GB2312"/>
          <w:sz w:val="32"/>
          <w:szCs w:val="32"/>
          <w:lang w:val="en-US" w:eastAsia="zh-CN"/>
        </w:rPr>
        <w:t>为老</w:t>
      </w:r>
      <w:r>
        <w:rPr>
          <w:rFonts w:hint="eastAsia" w:ascii="仿宋_GB2312" w:hAnsi="仿宋_GB2312" w:eastAsia="仿宋_GB2312" w:cs="仿宋_GB2312"/>
          <w:sz w:val="32"/>
          <w:szCs w:val="32"/>
        </w:rPr>
        <w:t>助餐机构评估机制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优化政府政策扶持下的市场化运营模式，鼓励爱心企业、</w:t>
      </w:r>
      <w:r>
        <w:rPr>
          <w:rFonts w:hint="eastAsia" w:ascii="仿宋_GB2312" w:hAnsi="仿宋_GB2312" w:eastAsia="仿宋_GB2312" w:cs="仿宋_GB2312"/>
          <w:bCs/>
          <w:iCs/>
          <w:sz w:val="32"/>
          <w:szCs w:val="32"/>
        </w:rPr>
        <w:t>社会组织、</w:t>
      </w:r>
      <w:r>
        <w:rPr>
          <w:rFonts w:hint="eastAsia" w:ascii="仿宋_GB2312" w:hAnsi="仿宋_GB2312" w:eastAsia="仿宋_GB2312" w:cs="仿宋_GB2312"/>
          <w:sz w:val="32"/>
          <w:szCs w:val="32"/>
        </w:rPr>
        <w:t>慈善力量</w:t>
      </w:r>
      <w:r>
        <w:rPr>
          <w:rFonts w:hint="eastAsia" w:ascii="仿宋_GB2312" w:hAnsi="仿宋_GB2312" w:eastAsia="仿宋_GB2312" w:cs="仿宋_GB2312"/>
          <w:bCs/>
          <w:iCs/>
          <w:sz w:val="32"/>
          <w:szCs w:val="32"/>
        </w:rPr>
        <w:t>等</w:t>
      </w:r>
      <w:r>
        <w:rPr>
          <w:rFonts w:hint="eastAsia" w:ascii="仿宋_GB2312" w:hAnsi="仿宋_GB2312" w:eastAsia="仿宋_GB2312" w:cs="仿宋_GB2312"/>
          <w:sz w:val="32"/>
          <w:szCs w:val="32"/>
        </w:rPr>
        <w:t>参与为老助餐项目，形成模式多样、方便可及、品质优良的为老助餐网络，推动助餐项目可持续发展。</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激发养老服务市场主体活力。支持优质养老服务机构连锁化、规模化、品牌化运营养老服务设施。优化养老服务机构经营资质办理流程，养老服务机构在开设连锁化街道综合养老服务中心或社区养老服务站时，可以以该机构作为法人机构办理连锁化服务站点的经营资质，无需再设立新的法人机构。落实各项行政事业性收费减免政策，养老服务机构用电、用水、用气、用热享受居民价格政策。加强政企联动，建立</w:t>
      </w:r>
      <w:r>
        <w:rPr>
          <w:rFonts w:hint="eastAsia" w:ascii="仿宋_GB2312" w:hAnsi="仿宋_GB2312" w:eastAsia="仿宋_GB2312" w:cs="仿宋_GB2312"/>
          <w:sz w:val="32"/>
          <w:szCs w:val="32"/>
          <w:lang w:val="en-US" w:eastAsia="zh-CN"/>
        </w:rPr>
        <w:t>区级</w:t>
      </w:r>
      <w:r>
        <w:rPr>
          <w:rFonts w:hint="eastAsia" w:ascii="仿宋_GB2312" w:hAnsi="仿宋_GB2312" w:eastAsia="仿宋_GB2312" w:cs="仿宋_GB2312"/>
          <w:sz w:val="32"/>
          <w:szCs w:val="32"/>
        </w:rPr>
        <w:t>民政领导班子联系养老服务机构、养老企业帮办、养老社区宣讲团等制度。</w:t>
      </w:r>
    </w:p>
    <w:p>
      <w:pPr>
        <w:spacing w:line="560" w:lineRule="exact"/>
        <w:ind w:firstLine="640" w:firstLineChars="200"/>
        <w:rPr>
          <w:rFonts w:ascii="楷体_GB2312" w:hAnsi="楷体_GB2312" w:eastAsia="楷体_GB2312" w:cs="楷体_GB2312"/>
          <w:sz w:val="32"/>
          <w:szCs w:val="32"/>
        </w:rPr>
      </w:pPr>
      <w:r>
        <w:rPr>
          <w:rFonts w:hint="eastAsia" w:ascii="仿宋_GB2312" w:hAnsi="仿宋_GB2312" w:eastAsia="仿宋_GB2312" w:cs="仿宋_GB2312"/>
          <w:kern w:val="2"/>
          <w:sz w:val="32"/>
          <w:szCs w:val="32"/>
          <w:lang w:val="en-US" w:eastAsia="zh-CN" w:bidi="ar-SA"/>
        </w:rPr>
        <w:t>12.推动家庭照料和互助养老。支持家庭成员承担照料义务，支持互助养老服务，倡导邻里、亲友结对帮扶,鼓励低龄健康老年人为高龄、独居、空巢老年人提供居家养老照料。发挥社区、社会工作者、社区社会组织、社区志愿者、社区公益慈善资源“五社联动”机制，为老年人提供困难帮扶、精神慰藉、助餐送餐等关爱服务。</w:t>
      </w:r>
    </w:p>
    <w:p>
      <w:pPr>
        <w:pStyle w:val="12"/>
        <w:keepNext w:val="0"/>
        <w:keepLines w:val="0"/>
        <w:pageBreakBefore w:val="0"/>
        <w:kinsoku/>
        <w:wordWrap/>
        <w:topLinePunct w:val="0"/>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第四部分：</w:t>
      </w:r>
      <w:r>
        <w:rPr>
          <w:rFonts w:hint="eastAsia" w:ascii="仿宋_GB2312" w:hAnsi="仿宋_GB2312" w:eastAsia="仿宋_GB2312" w:cs="仿宋_GB2312"/>
          <w:sz w:val="32"/>
          <w:szCs w:val="32"/>
        </w:rPr>
        <w:t>夯实人才队伍，提高基本养老服务水平</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完善人才培养体系。建立护理员、护理班长、护理主任、院长等分层次的培训教育体系，畅通一线工作人员职业发展通道。开展养老护理员技能培训和实训，着力提升从业人员技能水平。鼓励有资质的人力资源服务机构开展养老服务从业人员职业介绍和劳务派遣服务，提供人员供给支撑。</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健全人才褒扬机制。组织开展全区养老服务人才选树表彰，组织最美养老服务从业人员、敬老使者等荣誉评选，按规定给予激励表扬。通过各级各类媒体广泛宣传优秀养老服务人员的先进事迹。积极从一线养老服务人员中培养发展党员，推荐劳动模范、三八红旗手、五四先锋青年等先进典型，增强养老服务人员的荣誉感</w:t>
      </w:r>
      <w:r>
        <w:rPr>
          <w:rFonts w:hint="eastAsia" w:ascii="仿宋_GB2312" w:hAnsi="仿宋_GB2312" w:eastAsia="仿宋_GB2312" w:cs="仿宋_GB2312"/>
          <w:bCs/>
          <w:iCs/>
          <w:sz w:val="32"/>
          <w:szCs w:val="32"/>
        </w:rPr>
        <w:t>和社会地位</w:t>
      </w:r>
      <w:r>
        <w:rPr>
          <w:rFonts w:hint="eastAsia" w:ascii="仿宋_GB2312" w:hAnsi="仿宋_GB2312" w:eastAsia="仿宋_GB2312" w:cs="仿宋_GB2312"/>
          <w:sz w:val="32"/>
          <w:szCs w:val="32"/>
        </w:rPr>
        <w:t>。</w:t>
      </w:r>
    </w:p>
    <w:p>
      <w:pPr>
        <w:pStyle w:val="12"/>
        <w:keepNext w:val="0"/>
        <w:keepLines w:val="0"/>
        <w:pageBreakBefore w:val="0"/>
        <w:kinsoku/>
        <w:wordWrap/>
        <w:topLinePunct w:val="0"/>
        <w:autoSpaceDN/>
        <w:bidi w:val="0"/>
        <w:adjustRightInd/>
        <w:snapToGrid/>
        <w:spacing w:before="0" w:beforeAutospacing="0" w:after="0" w:afterAutospacing="0" w:line="560" w:lineRule="exact"/>
        <w:ind w:firstLine="640" w:firstLineChars="200"/>
        <w:jc w:val="both"/>
        <w:textAlignment w:val="auto"/>
        <w:rPr>
          <w:rFonts w:hint="eastAsia" w:ascii="黑体" w:hAnsi="黑体" w:eastAsia="黑体" w:cs="黑体"/>
          <w:sz w:val="32"/>
          <w:szCs w:val="32"/>
        </w:rPr>
      </w:pPr>
      <w:r>
        <w:rPr>
          <w:rFonts w:hint="eastAsia" w:ascii="仿宋_GB2312" w:hAnsi="仿宋_GB2312" w:eastAsia="仿宋_GB2312" w:cs="仿宋_GB2312"/>
          <w:sz w:val="32"/>
          <w:szCs w:val="32"/>
          <w:lang w:val="en-US" w:eastAsia="zh-CN"/>
        </w:rPr>
        <w:t>第五部分：</w:t>
      </w:r>
      <w:r>
        <w:rPr>
          <w:rFonts w:hint="eastAsia" w:ascii="仿宋_GB2312" w:hAnsi="仿宋_GB2312" w:eastAsia="仿宋_GB2312" w:cs="仿宋_GB2312"/>
          <w:sz w:val="32"/>
          <w:szCs w:val="32"/>
        </w:rPr>
        <w:t>坚持多措并举，完善基本养老服务组织保障</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强化资金保障。落实基本养老服务经费保障机制，设立养老服务专项资金，根据全区经济发展水平和老年人服务需求逐步增加对基本养老服务的投入。不断拓宽养老服务资金投入渠道，形成财政资金、社会资本、慈善资金等多元结合的投入机制。鼓励引导企业、社会组织、个人等社会力量依法通过捐赠、设立慈善基金、志愿服务等方式，为基本养老服务提供支持和帮助。</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.健全综合监管机制。建立健全养老服务部门协同监管机制，完善事中事后监管措施，打造养老服务“综合监管一张网”，推动养老服务领域基本信息共享、监管信息互通、信用信息公开。</w:t>
      </w:r>
      <w:r>
        <w:rPr>
          <w:rFonts w:hint="eastAsia" w:ascii="仿宋_GB2312" w:hAnsi="仿宋_GB2312" w:eastAsia="仿宋_GB2312" w:cs="仿宋_GB2312"/>
          <w:sz w:val="32"/>
          <w:szCs w:val="32"/>
          <w:lang w:val="en-US" w:eastAsia="zh-CN"/>
        </w:rPr>
        <w:t>常态化开展“双随机、一公开”检查，加强养老服务机构登记备案、质量安全、从业人员、涉及资金、运营秩序、应急处置等方面监管。</w:t>
      </w:r>
      <w:r>
        <w:rPr>
          <w:rFonts w:hint="eastAsia" w:ascii="仿宋_GB2312" w:hAnsi="仿宋_GB2312" w:eastAsia="仿宋_GB2312" w:cs="仿宋_GB2312"/>
          <w:sz w:val="32"/>
          <w:szCs w:val="32"/>
        </w:rPr>
        <w:t>落实智慧消防平台建设，强化消防安全自动化预警管理和消防巡查管理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推动“互联网+明厨亮灶”平台应用，强化食品安全监管。</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健全风险防范机制。统筹发展与安全，消除养老服务机构消防、燃气、建筑、食品、疫情等风险隐患，提高安全管理、风险防控和应急处置能力。严厉查处向老年人欺诈销售各类产品和服务的违法行为，持续加强养老服务领域诈骗、非法集资排查整治，维护老年人合法权益。建立健全养老服务纠纷协调处置机制，鼓励养老机构和服务对象通过自主协商和法律途径，依法解决服务纠纷，维护养老机构和服务对象合法权益。</w:t>
      </w:r>
    </w:p>
    <w:p>
      <w:pPr>
        <w:pStyle w:val="12"/>
        <w:keepNext w:val="0"/>
        <w:keepLines w:val="0"/>
        <w:pageBreakBefore w:val="0"/>
        <w:kinsoku/>
        <w:wordWrap/>
        <w:topLinePunct w:val="0"/>
        <w:autoSpaceDN/>
        <w:bidi w:val="0"/>
        <w:adjustRightInd/>
        <w:snapToGrid/>
        <w:spacing w:before="0" w:beforeAutospacing="0" w:after="0" w:afterAutospacing="0" w:line="560" w:lineRule="exact"/>
        <w:ind w:firstLine="640" w:firstLineChars="200"/>
        <w:jc w:val="both"/>
        <w:textAlignment w:val="auto"/>
        <w:rPr>
          <w:rFonts w:hint="eastAsia" w:ascii="黑体" w:hAnsi="黑体" w:eastAsia="黑体" w:cs="黑体"/>
          <w:sz w:val="32"/>
          <w:szCs w:val="32"/>
        </w:rPr>
      </w:pPr>
      <w:r>
        <w:rPr>
          <w:rFonts w:hint="eastAsia" w:ascii="仿宋_GB2312" w:hAnsi="仿宋_GB2312" w:eastAsia="仿宋_GB2312" w:cs="仿宋_GB2312"/>
          <w:sz w:val="32"/>
          <w:szCs w:val="32"/>
          <w:lang w:val="en-US" w:eastAsia="zh-CN"/>
        </w:rPr>
        <w:t>第六部分：</w:t>
      </w:r>
      <w:r>
        <w:rPr>
          <w:rFonts w:hint="eastAsia" w:ascii="仿宋_GB2312" w:hAnsi="仿宋_GB2312" w:eastAsia="仿宋_GB2312" w:cs="仿宋_GB2312"/>
          <w:sz w:val="32"/>
          <w:szCs w:val="32"/>
        </w:rPr>
        <w:t>加强组织领导，形成基本养老服务整体合力</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加强组织领导。健全党委领导、政府主导、部门协同、社会参与的工作机制，坚持党政主要负责人负总责，将基本养老服务体系建设纳入全区经济社会发展规划和重要议事日程。建立养老服务体系建设联席会议制度，发挥养老服务联席会议牵头协调作用，</w:t>
      </w:r>
      <w:r>
        <w:rPr>
          <w:rFonts w:hint="eastAsia" w:ascii="仿宋_GB2312" w:hAnsi="仿宋_GB2312" w:eastAsia="仿宋_GB2312" w:cs="仿宋_GB2312"/>
          <w:sz w:val="32"/>
          <w:szCs w:val="32"/>
          <w:lang w:eastAsia="zh-CN"/>
        </w:rPr>
        <w:t>各街道</w:t>
      </w:r>
      <w:r>
        <w:rPr>
          <w:rFonts w:hint="eastAsia" w:ascii="仿宋_GB2312" w:hAnsi="仿宋_GB2312" w:eastAsia="仿宋_GB2312" w:cs="仿宋_GB2312"/>
          <w:sz w:val="32"/>
          <w:szCs w:val="32"/>
        </w:rPr>
        <w:t>、各部门、各单位按照职责分工抓好工作落实。</w:t>
      </w:r>
    </w:p>
    <w:p>
      <w:pPr>
        <w:keepNext w:val="0"/>
        <w:keepLines w:val="0"/>
        <w:pageBreakBefore w:val="0"/>
        <w:kinsoku/>
        <w:wordWrap/>
        <w:topLinePunct w:val="0"/>
        <w:autoSpaceDN/>
        <w:bidi w:val="0"/>
        <w:adjustRightInd/>
        <w:snapToGrid/>
        <w:spacing w:line="560" w:lineRule="exact"/>
        <w:ind w:firstLine="640" w:firstLineChars="200"/>
        <w:jc w:val="both"/>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.加强监督考核。健全考核评价体系，</w:t>
      </w:r>
      <w:r>
        <w:rPr>
          <w:rFonts w:ascii="仿宋_GB2312" w:hAnsi="仿宋_GB2312" w:eastAsia="仿宋_GB2312" w:cs="仿宋_GB2312"/>
          <w:sz w:val="32"/>
          <w:szCs w:val="32"/>
        </w:rPr>
        <w:t>将基本养老服务体系建设情况纳入</w:t>
      </w:r>
      <w:r>
        <w:rPr>
          <w:rFonts w:hint="eastAsia" w:ascii="仿宋_GB2312" w:hAnsi="仿宋_GB2312" w:eastAsia="仿宋_GB2312" w:cs="仿宋_GB2312"/>
          <w:bCs/>
          <w:iCs/>
          <w:sz w:val="32"/>
          <w:szCs w:val="32"/>
        </w:rPr>
        <w:t>全区</w:t>
      </w:r>
      <w:r>
        <w:rPr>
          <w:rFonts w:hint="eastAsia" w:ascii="仿宋_GB2312" w:hAnsi="仿宋_GB2312" w:eastAsia="仿宋_GB2312" w:cs="仿宋_GB2312"/>
          <w:sz w:val="32"/>
          <w:szCs w:val="32"/>
        </w:rPr>
        <w:t>经济社会高质量发展综合绩效考核，建立常态化督查机制，对政策落实情况进行定期调度和监督检查，确保责任到位、工作到位、见到实效。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.营造社会氛围。</w:t>
      </w:r>
      <w:r>
        <w:rPr>
          <w:rFonts w:hint="eastAsia" w:ascii="仿宋_GB2312" w:hAnsi="仿宋_GB2312" w:eastAsia="仿宋_GB2312" w:cs="仿宋_GB2312"/>
          <w:sz w:val="32"/>
          <w:szCs w:val="32"/>
          <w:lang w:eastAsia="zh-CN"/>
        </w:rPr>
        <w:t>各街道</w:t>
      </w:r>
      <w:r>
        <w:rPr>
          <w:rFonts w:hint="eastAsia" w:ascii="仿宋_GB2312" w:hAnsi="仿宋_GB2312" w:eastAsia="仿宋_GB2312" w:cs="仿宋_GB2312"/>
          <w:sz w:val="32"/>
          <w:szCs w:val="32"/>
        </w:rPr>
        <w:t>、各部门、各单位要主动做好政策宣传解读，及时公开基本养老服务信息。凝聚社会共识，</w:t>
      </w:r>
      <w:r>
        <w:rPr>
          <w:rFonts w:hint="eastAsia" w:ascii="仿宋_GB2312" w:eastAsia="仿宋_GB2312"/>
          <w:sz w:val="32"/>
          <w:szCs w:val="32"/>
        </w:rPr>
        <w:t>充分调动各方支持配合基本养老服务体系建设的积极性和主动性，</w:t>
      </w:r>
      <w:r>
        <w:rPr>
          <w:rFonts w:hint="eastAsia" w:ascii="仿宋_GB2312" w:hAnsi="仿宋_GB2312" w:eastAsia="仿宋_GB2312" w:cs="仿宋_GB2312"/>
          <w:sz w:val="32"/>
          <w:szCs w:val="32"/>
        </w:rPr>
        <w:t>持续推动养老服务高质量发展。</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numPr>
          <w:ilvl w:val="0"/>
          <w:numId w:val="1"/>
        </w:numPr>
        <w:jc w:val="center"/>
        <w:outlineLvl w:val="0"/>
        <w:rPr>
          <w:rFonts w:ascii="方正小标宋_GBK" w:hAnsi="方正小标宋_GBK" w:eastAsia="方正小标宋_GBK" w:cs="方正小标宋_GBK"/>
          <w:sz w:val="44"/>
          <w:szCs w:val="44"/>
        </w:rPr>
      </w:pPr>
      <w:bookmarkStart w:id="9" w:name="_Toc19217"/>
      <w:bookmarkStart w:id="10" w:name="_Toc6199"/>
      <w:r>
        <w:rPr>
          <w:rFonts w:hint="eastAsia" w:ascii="方正小标宋_GBK" w:hAnsi="方正小标宋_GBK" w:eastAsia="方正小标宋_GBK" w:cs="方正小标宋_GBK"/>
          <w:sz w:val="44"/>
          <w:szCs w:val="44"/>
        </w:rPr>
        <w:t>风险评估主体和事项、方式和过程</w:t>
      </w:r>
      <w:bookmarkEnd w:id="9"/>
      <w:bookmarkEnd w:id="10"/>
    </w:p>
    <w:p>
      <w:pPr>
        <w:spacing w:line="560" w:lineRule="exact"/>
        <w:ind w:firstLine="640" w:firstLineChars="200"/>
        <w:outlineLvl w:val="1"/>
        <w:rPr>
          <w:rFonts w:ascii="黑体" w:hAnsi="黑体" w:eastAsia="黑体" w:cs="黑体"/>
          <w:sz w:val="32"/>
          <w:szCs w:val="32"/>
        </w:rPr>
      </w:pPr>
      <w:bookmarkStart w:id="11" w:name="_Toc10480"/>
      <w:bookmarkStart w:id="12" w:name="_Toc8966"/>
      <w:r>
        <w:rPr>
          <w:rFonts w:hint="eastAsia" w:ascii="黑体" w:hAnsi="黑体" w:eastAsia="黑体" w:cs="黑体"/>
          <w:sz w:val="32"/>
          <w:szCs w:val="32"/>
        </w:rPr>
        <w:t>一、风险评估主体和事项</w:t>
      </w:r>
      <w:bookmarkEnd w:id="11"/>
      <w:bookmarkEnd w:id="12"/>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本次风险评估的主体为</w:t>
      </w:r>
      <w:r>
        <w:rPr>
          <w:rFonts w:hint="eastAsia" w:ascii="仿宋_GB2312" w:hAnsi="仿宋_GB2312" w:eastAsia="仿宋_GB2312" w:cs="仿宋_GB2312"/>
          <w:sz w:val="32"/>
          <w:szCs w:val="32"/>
          <w:lang w:val="en-US" w:eastAsia="zh-CN"/>
        </w:rPr>
        <w:t>李沧</w:t>
      </w:r>
      <w:r>
        <w:rPr>
          <w:rFonts w:hint="eastAsia" w:ascii="仿宋_GB2312" w:hAnsi="仿宋_GB2312" w:eastAsia="仿宋_GB2312" w:cs="仿宋_GB2312"/>
          <w:sz w:val="32"/>
          <w:szCs w:val="32"/>
        </w:rPr>
        <w:t>区民政局；评估事项为《李沧区关于推进基本养老服务体系建设的实施意见》。</w:t>
      </w:r>
    </w:p>
    <w:p>
      <w:pPr>
        <w:spacing w:line="560" w:lineRule="exact"/>
        <w:ind w:firstLine="640" w:firstLineChars="200"/>
        <w:outlineLvl w:val="1"/>
        <w:rPr>
          <w:rFonts w:ascii="黑体" w:hAnsi="黑体" w:eastAsia="黑体" w:cs="黑体"/>
          <w:sz w:val="32"/>
          <w:szCs w:val="32"/>
        </w:rPr>
      </w:pPr>
      <w:bookmarkStart w:id="13" w:name="_Toc19664"/>
      <w:bookmarkStart w:id="14" w:name="_Toc9307"/>
      <w:r>
        <w:rPr>
          <w:rFonts w:hint="eastAsia" w:ascii="黑体" w:hAnsi="黑体" w:eastAsia="黑体" w:cs="黑体"/>
          <w:sz w:val="32"/>
          <w:szCs w:val="32"/>
        </w:rPr>
        <w:t>二、风险评估方式和过程</w:t>
      </w:r>
      <w:bookmarkEnd w:id="13"/>
      <w:bookmarkEnd w:id="1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李沧</w:t>
      </w:r>
      <w:r>
        <w:rPr>
          <w:rFonts w:hint="eastAsia" w:ascii="仿宋_GB2312" w:hAnsi="仿宋_GB2312" w:eastAsia="仿宋_GB2312" w:cs="仿宋_GB2312"/>
          <w:sz w:val="32"/>
          <w:szCs w:val="32"/>
        </w:rPr>
        <w:t>区民政局开展了以下评估工作内容：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1.成立风险评估组，明确小组内人员职责分工。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2.制定风险评估工作方案。风险评估组制定了《实施方案》风险评估工作方案，明确了评估目的、标准、步骤、方法和时限。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3.听取社会各方意见。风险评估组梳理了区民政局前期开展的公众意见征求、部门意见征集、专家评审等工作，整理了公众、专家和相关部门意见。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4.收集文献资料。风险评估组收集整理了关于提升养老服务体系建设</w:t>
      </w:r>
      <w:r>
        <w:rPr>
          <w:rFonts w:ascii="仿宋_GB2312" w:hAnsi="仿宋_GB2312" w:eastAsia="仿宋_GB2312" w:cs="仿宋_GB2312"/>
          <w:sz w:val="32"/>
          <w:szCs w:val="32"/>
        </w:rPr>
        <w:t>水平</w:t>
      </w:r>
      <w:r>
        <w:rPr>
          <w:rFonts w:hint="eastAsia" w:ascii="仿宋_GB2312" w:hAnsi="仿宋_GB2312" w:eastAsia="仿宋_GB2312" w:cs="仿宋_GB2312"/>
          <w:sz w:val="32"/>
          <w:szCs w:val="32"/>
        </w:rPr>
        <w:t>的相关法律法规、政策文件、专家组意见等相关资料。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5.全面排查风险点和风险源。风险评估组分析研判《实施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》可能存在的风险点和风险源，并对风险点和风险源进行了调整确认。</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6.分析研判风险等级。风险评估组分别对各个风险的风险程度进行评估，根据评判标准估计风险等级（高、中、低），得到《实施</w:t>
      </w:r>
      <w:r>
        <w:rPr>
          <w:rFonts w:hint="eastAsia" w:ascii="仿宋_GB2312" w:hAnsi="仿宋_GB2312" w:eastAsia="仿宋_GB2312" w:cs="仿宋_GB2312"/>
          <w:sz w:val="32"/>
          <w:szCs w:val="32"/>
          <w:highlight w:val="none"/>
          <w:lang w:val="en-US" w:eastAsia="zh-CN"/>
        </w:rPr>
        <w:t>意见</w:t>
      </w:r>
      <w:r>
        <w:rPr>
          <w:rFonts w:hint="eastAsia" w:ascii="仿宋_GB2312" w:hAnsi="仿宋_GB2312" w:eastAsia="仿宋_GB2312" w:cs="仿宋_GB2312"/>
          <w:sz w:val="32"/>
          <w:szCs w:val="32"/>
          <w:highlight w:val="none"/>
        </w:rPr>
        <w:t>》风险评估结果。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7.制定风险防范和化解措施。为降低《实施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》风险程度，风险评估组联合专家制定了针对性的风险防范和化解措施。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8.制定了应急处置预案。针对风险程度较高较为集中的主要风险因素，制定了应急处置预案。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9.形成风险评估报告。风险评估组在完成以上工作的基础上，编制《〈李沧区关于推进基本养老服务体系建设的实施意见〉风险评估报告》。</w:t>
      </w:r>
    </w:p>
    <w:p>
      <w:pPr>
        <w:spacing w:line="560" w:lineRule="exact"/>
        <w:ind w:firstLine="640" w:firstLineChars="200"/>
        <w:outlineLvl w:val="1"/>
        <w:rPr>
          <w:rFonts w:ascii="黑体" w:hAnsi="黑体" w:eastAsia="黑体" w:cs="黑体"/>
          <w:sz w:val="32"/>
          <w:szCs w:val="32"/>
        </w:rPr>
      </w:pPr>
      <w:bookmarkStart w:id="15" w:name="_Toc16390"/>
      <w:bookmarkStart w:id="16" w:name="_Toc5796"/>
      <w:r>
        <w:rPr>
          <w:rFonts w:hint="eastAsia" w:ascii="黑体" w:hAnsi="黑体" w:eastAsia="黑体" w:cs="黑体"/>
          <w:sz w:val="32"/>
          <w:szCs w:val="32"/>
        </w:rPr>
        <w:t>三、风险评估依据</w:t>
      </w:r>
      <w:bookmarkEnd w:id="15"/>
      <w:bookmarkEnd w:id="16"/>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1.《重大行政决策程序暂行条例》（中华人民共和国国务院令第713号）；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2.《关于加强新形势下重大决策社会稳定风险评估机制建设的意见》（中办字[2021]11号）；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3.《山东省重大行政决策程序规定》（山东省人民政府令336号）；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4.《青岛市重大行政决策程序规定》（青岛市政府令[2019]271号）；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青岛市李沧</w:t>
      </w:r>
      <w:r>
        <w:rPr>
          <w:rFonts w:hint="eastAsia" w:ascii="仿宋_GB2312" w:hAnsi="仿宋_GB2312" w:eastAsia="仿宋_GB2312" w:cs="仿宋_GB2312"/>
          <w:sz w:val="32"/>
          <w:szCs w:val="32"/>
          <w:highlight w:val="none"/>
        </w:rPr>
        <w:t>区重大行政决策程序规定》（</w:t>
      </w:r>
      <w:r>
        <w:rPr>
          <w:rFonts w:hint="eastAsia" w:ascii="仿宋_GB2312" w:hAnsi="仿宋_GB2312" w:eastAsia="仿宋_GB2312" w:cs="仿宋_GB2312"/>
          <w:sz w:val="32"/>
          <w:szCs w:val="32"/>
          <w:highlight w:val="none"/>
          <w:lang w:val="en-US" w:eastAsia="zh-CN"/>
        </w:rPr>
        <w:t>青李沧</w:t>
      </w:r>
      <w:r>
        <w:rPr>
          <w:rFonts w:hint="eastAsia" w:ascii="仿宋_GB2312" w:hAnsi="仿宋_GB2312" w:eastAsia="仿宋_GB2312" w:cs="仿宋_GB2312"/>
          <w:sz w:val="32"/>
          <w:szCs w:val="32"/>
          <w:highlight w:val="none"/>
        </w:rPr>
        <w:t>政</w:t>
      </w:r>
      <w:r>
        <w:rPr>
          <w:rFonts w:hint="eastAsia" w:ascii="仿宋_GB2312" w:hAnsi="仿宋_GB2312" w:eastAsia="仿宋_GB2312" w:cs="仿宋_GB2312"/>
          <w:sz w:val="32"/>
          <w:szCs w:val="32"/>
          <w:highlight w:val="none"/>
          <w:lang w:val="en-US" w:eastAsia="zh-CN"/>
        </w:rPr>
        <w:t>办</w:t>
      </w:r>
      <w:r>
        <w:rPr>
          <w:rFonts w:hint="eastAsia" w:ascii="仿宋_GB2312" w:hAnsi="仿宋_GB2312" w:eastAsia="仿宋_GB2312" w:cs="仿宋_GB2312"/>
          <w:sz w:val="32"/>
          <w:szCs w:val="32"/>
          <w:highlight w:val="none"/>
        </w:rPr>
        <w:t>发[202</w:t>
      </w:r>
      <w:r>
        <w:rPr>
          <w:rFonts w:hint="eastAsia" w:ascii="仿宋_GB2312" w:hAnsi="仿宋_GB2312" w:eastAsia="仿宋_GB2312" w:cs="仿宋_GB2312"/>
          <w:sz w:val="32"/>
          <w:szCs w:val="32"/>
          <w:highlight w:val="none"/>
          <w:lang w:val="en-US" w:eastAsia="zh-CN"/>
        </w:rPr>
        <w:t>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号）。</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numPr>
          <w:ilvl w:val="0"/>
          <w:numId w:val="1"/>
        </w:numPr>
        <w:spacing w:line="560" w:lineRule="exact"/>
        <w:jc w:val="center"/>
        <w:outlineLvl w:val="0"/>
        <w:rPr>
          <w:rFonts w:ascii="方正小标宋_GBK" w:hAnsi="方正小标宋_GBK" w:eastAsia="方正小标宋_GBK" w:cs="方正小标宋_GBK"/>
          <w:sz w:val="44"/>
          <w:szCs w:val="44"/>
        </w:rPr>
      </w:pPr>
      <w:bookmarkStart w:id="17" w:name="_Toc16171"/>
      <w:bookmarkStart w:id="18" w:name="_Toc3836"/>
      <w:r>
        <w:rPr>
          <w:rFonts w:hint="eastAsia" w:ascii="方正小标宋_GBK" w:hAnsi="方正小标宋_GBK" w:eastAsia="方正小标宋_GBK" w:cs="方正小标宋_GBK"/>
          <w:sz w:val="44"/>
          <w:szCs w:val="44"/>
        </w:rPr>
        <w:t>风险调查</w:t>
      </w:r>
      <w:bookmarkEnd w:id="17"/>
      <w:bookmarkEnd w:id="18"/>
    </w:p>
    <w:p>
      <w:pPr>
        <w:spacing w:line="560" w:lineRule="exact"/>
        <w:rPr>
          <w:rFonts w:ascii="仿宋_GB2312" w:hAnsi="仿宋_GB2312" w:eastAsia="仿宋_GB2312" w:cs="仿宋_GB2312"/>
          <w:sz w:val="32"/>
          <w:szCs w:val="32"/>
        </w:rPr>
      </w:pPr>
    </w:p>
    <w:p>
      <w:pPr>
        <w:spacing w:line="560" w:lineRule="exact"/>
        <w:ind w:firstLine="640" w:firstLineChars="200"/>
        <w:outlineLvl w:val="1"/>
        <w:rPr>
          <w:rFonts w:ascii="黑体" w:hAnsi="黑体" w:eastAsia="黑体" w:cs="黑体"/>
          <w:sz w:val="32"/>
          <w:szCs w:val="32"/>
        </w:rPr>
      </w:pPr>
      <w:bookmarkStart w:id="19" w:name="_Toc6013"/>
      <w:bookmarkStart w:id="20" w:name="_Toc25131"/>
      <w:r>
        <w:rPr>
          <w:rFonts w:hint="eastAsia" w:ascii="黑体" w:hAnsi="黑体" w:eastAsia="黑体" w:cs="黑体"/>
          <w:sz w:val="32"/>
          <w:szCs w:val="32"/>
        </w:rPr>
        <w:t>一、文献资料收集分析</w:t>
      </w:r>
      <w:bookmarkEnd w:id="19"/>
      <w:bookmarkEnd w:id="20"/>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风险评估组根据区民政局前期工作开展情况，搜集了《实施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》前期已开展工作的有关资料，同时，风险评估组通过网络、媒体等方式，搜集梳理《实施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》的相关风险因素及化解措施，对照《实施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》中的内容查找风险点源，分析确定《实施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》的主要风险因素。</w:t>
      </w:r>
    </w:p>
    <w:p>
      <w:pPr>
        <w:spacing w:line="560" w:lineRule="exact"/>
        <w:ind w:firstLine="640" w:firstLineChars="200"/>
        <w:outlineLvl w:val="1"/>
        <w:rPr>
          <w:rFonts w:ascii="黑体" w:hAnsi="黑体" w:eastAsia="黑体" w:cs="黑体"/>
          <w:sz w:val="32"/>
          <w:szCs w:val="32"/>
        </w:rPr>
      </w:pPr>
      <w:bookmarkStart w:id="21" w:name="_Toc15086"/>
      <w:bookmarkStart w:id="22" w:name="_Toc26808"/>
      <w:r>
        <w:rPr>
          <w:rFonts w:hint="eastAsia" w:ascii="黑体" w:hAnsi="黑体" w:eastAsia="黑体" w:cs="黑体"/>
          <w:sz w:val="32"/>
          <w:szCs w:val="32"/>
        </w:rPr>
        <w:t>二、公众意见征求</w:t>
      </w:r>
      <w:bookmarkEnd w:id="21"/>
      <w:r>
        <w:rPr>
          <w:rFonts w:hint="eastAsia" w:ascii="黑体" w:hAnsi="黑体" w:eastAsia="黑体" w:cs="黑体"/>
          <w:sz w:val="32"/>
          <w:szCs w:val="32"/>
        </w:rPr>
        <w:t>及采纳情况</w:t>
      </w:r>
      <w:bookmarkEnd w:id="22"/>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rPr>
        <w:t>2023年</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28</w:t>
      </w:r>
      <w:r>
        <w:rPr>
          <w:rFonts w:hint="eastAsia" w:ascii="仿宋_GB2312" w:hAnsi="仿宋_GB2312" w:eastAsia="仿宋_GB2312" w:cs="仿宋_GB2312"/>
          <w:sz w:val="32"/>
          <w:szCs w:val="32"/>
          <w:highlight w:val="none"/>
        </w:rPr>
        <w:t>日，</w:t>
      </w:r>
      <w:r>
        <w:rPr>
          <w:rFonts w:hint="eastAsia" w:ascii="仿宋_GB2312" w:hAnsi="仿宋_GB2312" w:eastAsia="仿宋_GB2312" w:cs="仿宋_GB2312"/>
          <w:sz w:val="32"/>
          <w:szCs w:val="32"/>
          <w:highlight w:val="none"/>
          <w:lang w:val="en-US" w:eastAsia="zh-CN"/>
        </w:rPr>
        <w:t>李沧</w:t>
      </w:r>
      <w:r>
        <w:rPr>
          <w:rFonts w:hint="eastAsia" w:ascii="仿宋_GB2312" w:hAnsi="仿宋_GB2312" w:eastAsia="仿宋_GB2312" w:cs="仿宋_GB2312"/>
          <w:sz w:val="32"/>
          <w:szCs w:val="32"/>
          <w:highlight w:val="none"/>
        </w:rPr>
        <w:t>区民政局在</w:t>
      </w:r>
      <w:r>
        <w:rPr>
          <w:rFonts w:hint="eastAsia" w:ascii="仿宋_GB2312" w:hAnsi="仿宋_GB2312" w:eastAsia="仿宋_GB2312" w:cs="仿宋_GB2312"/>
          <w:sz w:val="32"/>
          <w:szCs w:val="32"/>
          <w:highlight w:val="none"/>
          <w:lang w:val="en-US" w:eastAsia="zh-CN"/>
        </w:rPr>
        <w:t>李沧</w:t>
      </w:r>
      <w:r>
        <w:rPr>
          <w:rFonts w:hint="eastAsia" w:ascii="仿宋_GB2312" w:hAnsi="仿宋_GB2312" w:eastAsia="仿宋_GB2312" w:cs="仿宋_GB2312"/>
          <w:sz w:val="32"/>
          <w:szCs w:val="32"/>
          <w:highlight w:val="none"/>
        </w:rPr>
        <w:t>政务网发布了《〈</w:t>
      </w:r>
      <w:r>
        <w:rPr>
          <w:rFonts w:hint="eastAsia" w:ascii="仿宋_GB2312" w:hAnsi="仿宋_GB2312" w:eastAsia="仿宋_GB2312" w:cs="仿宋_GB2312"/>
          <w:sz w:val="32"/>
          <w:szCs w:val="32"/>
        </w:rPr>
        <w:t>李沧区关于推进基本养老服务体系建设的实施意见</w:t>
      </w:r>
      <w:r>
        <w:rPr>
          <w:rFonts w:hint="eastAsia" w:ascii="仿宋_GB2312" w:hAnsi="仿宋_GB2312" w:eastAsia="仿宋_GB2312" w:cs="仿宋_GB2312"/>
          <w:sz w:val="32"/>
          <w:szCs w:val="32"/>
          <w:highlight w:val="none"/>
        </w:rPr>
        <w:t>〉（征求意见稿）》的公开讯息（http://www.qdlc.gov.cn/lcyjzj/?yjzjandjgfk/82.html），向社会公开征求意见和建议。公示时间为31天，未收到社会公众反馈意</w:t>
      </w:r>
      <w:r>
        <w:rPr>
          <w:rFonts w:hint="eastAsia" w:ascii="仿宋_GB2312" w:hAnsi="仿宋_GB2312" w:eastAsia="仿宋_GB2312" w:cs="仿宋_GB2312"/>
          <w:sz w:val="32"/>
          <w:szCs w:val="32"/>
        </w:rPr>
        <w:t>见。</w:t>
      </w:r>
    </w:p>
    <w:p>
      <w:pPr>
        <w:spacing w:line="400" w:lineRule="exact"/>
        <w:rPr>
          <w:rFonts w:ascii="仿宋_GB2312" w:hAnsi="仿宋_GB2312" w:eastAsia="仿宋_GB2312" w:cs="仿宋_GB2312"/>
          <w:b/>
          <w:bCs/>
          <w:sz w:val="28"/>
          <w:szCs w:val="28"/>
        </w:rPr>
      </w:pPr>
      <w:r>
        <w:drawing>
          <wp:anchor distT="0" distB="0" distL="114300" distR="114300" simplePos="0" relativeHeight="251664384" behindDoc="1" locked="0" layoutInCell="1" allowOverlap="1">
            <wp:simplePos x="0" y="0"/>
            <wp:positionH relativeFrom="column">
              <wp:posOffset>97155</wp:posOffset>
            </wp:positionH>
            <wp:positionV relativeFrom="paragraph">
              <wp:posOffset>15240</wp:posOffset>
            </wp:positionV>
            <wp:extent cx="4563745" cy="2691130"/>
            <wp:effectExtent l="0" t="0" r="46355" b="13970"/>
            <wp:wrapTight wrapText="bothSides">
              <wp:wrapPolygon>
                <wp:start x="0" y="0"/>
                <wp:lineTo x="0" y="21406"/>
                <wp:lineTo x="21549" y="21406"/>
                <wp:lineTo x="21549"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563745" cy="2691130"/>
                    </a:xfrm>
                    <a:prstGeom prst="rect">
                      <a:avLst/>
                    </a:prstGeom>
                    <a:noFill/>
                    <a:ln>
                      <a:noFill/>
                    </a:ln>
                  </pic:spPr>
                </pic:pic>
              </a:graphicData>
            </a:graphic>
          </wp:anchor>
        </w:drawing>
      </w:r>
    </w:p>
    <w:p>
      <w:pPr>
        <w:spacing w:line="560" w:lineRule="exact"/>
        <w:ind w:firstLine="640" w:firstLineChars="200"/>
        <w:outlineLvl w:val="1"/>
        <w:rPr>
          <w:rFonts w:hint="eastAsia" w:ascii="黑体" w:hAnsi="黑体" w:eastAsia="黑体" w:cs="黑体"/>
          <w:sz w:val="32"/>
          <w:szCs w:val="32"/>
        </w:rPr>
      </w:pPr>
      <w:bookmarkStart w:id="23" w:name="_Toc25826"/>
    </w:p>
    <w:p>
      <w:pPr>
        <w:spacing w:line="560" w:lineRule="exact"/>
        <w:ind w:firstLine="640" w:firstLineChars="200"/>
        <w:outlineLvl w:val="1"/>
        <w:rPr>
          <w:rFonts w:hint="eastAsia" w:ascii="黑体" w:hAnsi="黑体" w:eastAsia="黑体" w:cs="黑体"/>
          <w:sz w:val="32"/>
          <w:szCs w:val="32"/>
        </w:rPr>
      </w:pPr>
    </w:p>
    <w:p>
      <w:pPr>
        <w:spacing w:line="560" w:lineRule="exact"/>
        <w:ind w:firstLine="640" w:firstLineChars="200"/>
        <w:outlineLvl w:val="1"/>
        <w:rPr>
          <w:rFonts w:hint="eastAsia" w:ascii="黑体" w:hAnsi="黑体" w:eastAsia="黑体" w:cs="黑体"/>
          <w:sz w:val="32"/>
          <w:szCs w:val="32"/>
        </w:rPr>
      </w:pPr>
    </w:p>
    <w:p>
      <w:pPr>
        <w:spacing w:line="560" w:lineRule="exact"/>
        <w:ind w:firstLine="640" w:firstLineChars="200"/>
        <w:outlineLvl w:val="1"/>
        <w:rPr>
          <w:rFonts w:hint="eastAsia" w:ascii="黑体" w:hAnsi="黑体" w:eastAsia="黑体" w:cs="黑体"/>
          <w:sz w:val="32"/>
          <w:szCs w:val="32"/>
        </w:rPr>
      </w:pPr>
    </w:p>
    <w:p>
      <w:pPr>
        <w:spacing w:line="560" w:lineRule="exact"/>
        <w:ind w:firstLine="640" w:firstLineChars="200"/>
        <w:outlineLvl w:val="1"/>
        <w:rPr>
          <w:rFonts w:hint="eastAsia" w:ascii="黑体" w:hAnsi="黑体" w:eastAsia="黑体" w:cs="黑体"/>
          <w:sz w:val="32"/>
          <w:szCs w:val="32"/>
        </w:rPr>
      </w:pPr>
    </w:p>
    <w:p>
      <w:pPr>
        <w:spacing w:line="560" w:lineRule="exact"/>
        <w:ind w:firstLine="640" w:firstLineChars="200"/>
        <w:outlineLvl w:val="1"/>
        <w:rPr>
          <w:rFonts w:hint="eastAsia" w:ascii="黑体" w:hAnsi="黑体" w:eastAsia="黑体" w:cs="黑体"/>
          <w:sz w:val="32"/>
          <w:szCs w:val="32"/>
        </w:rPr>
      </w:pPr>
    </w:p>
    <w:p>
      <w:pPr>
        <w:spacing w:line="560" w:lineRule="exact"/>
        <w:ind w:firstLine="640" w:firstLineChars="200"/>
        <w:outlineLvl w:val="1"/>
        <w:rPr>
          <w:rFonts w:hint="eastAsia" w:ascii="黑体" w:hAnsi="黑体" w:eastAsia="黑体" w:cs="黑体"/>
          <w:sz w:val="32"/>
          <w:szCs w:val="32"/>
        </w:rPr>
      </w:pPr>
      <w:r>
        <w:rPr>
          <w:sz w:val="32"/>
        </w:rPr>
        <mc:AlternateContent>
          <mc:Choice Requires="wps">
            <w:drawing>
              <wp:anchor distT="0" distB="0" distL="114300" distR="114300" simplePos="0" relativeHeight="251659264" behindDoc="0" locked="0" layoutInCell="1" allowOverlap="1">
                <wp:simplePos x="0" y="0"/>
                <wp:positionH relativeFrom="column">
                  <wp:posOffset>-4398010</wp:posOffset>
                </wp:positionH>
                <wp:positionV relativeFrom="paragraph">
                  <wp:posOffset>283210</wp:posOffset>
                </wp:positionV>
                <wp:extent cx="3898900" cy="485775"/>
                <wp:effectExtent l="0" t="0" r="6350" b="9525"/>
                <wp:wrapNone/>
                <wp:docPr id="5" name="文本框 5"/>
                <wp:cNvGraphicFramePr/>
                <a:graphic xmlns:a="http://schemas.openxmlformats.org/drawingml/2006/main">
                  <a:graphicData uri="http://schemas.microsoft.com/office/word/2010/wordprocessingShape">
                    <wps:wsp>
                      <wps:cNvSpPr txBox="1"/>
                      <wps:spPr>
                        <a:xfrm>
                          <a:off x="0" y="0"/>
                          <a:ext cx="3898822"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5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公众意见征求讯息网页截图及公众意见截图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3pt;margin-top:22.3pt;height:38.25pt;width:307pt;z-index:251659264;mso-width-relative:page;mso-height-relative:page;" fillcolor="#FFFFFF [3201]" filled="t" stroked="f" coordsize="21600,21600" o:gfxdata="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re+qy1gAAAAsBAAAP&#10;AAAAAAAAAAEAIAAAACIAAABkcnMvZG93bnJldi54bWxQSwECFAAUAAAACACHTuJAjL2dNFMCAACP&#10;BAAADgAAAAAAAAABACAAAAAlAQAAZHJzL2Uyb0RvYy54bWxQSwUGAAAAAAYABgBZAQAA6gUAAAAA&#10;">
                <v:fill on="t" focussize="0,0"/>
                <v:stroke on="f" weight="0.5pt"/>
                <v:imagedata o:title=""/>
                <o:lock v:ext="edit" aspectratio="f"/>
                <v:textbox>
                  <w:txbxContent>
                    <w:p>
                      <w:pPr>
                        <w:spacing w:line="5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公众意见征求讯息网页截图及公众意见截图</w:t>
                      </w:r>
                    </w:p>
                  </w:txbxContent>
                </v:textbox>
              </v:shape>
            </w:pict>
          </mc:Fallback>
        </mc:AlternateContent>
      </w:r>
    </w:p>
    <w:p>
      <w:pPr>
        <w:spacing w:line="560" w:lineRule="exact"/>
        <w:ind w:firstLine="640" w:firstLineChars="200"/>
        <w:outlineLvl w:val="1"/>
        <w:rPr>
          <w:rFonts w:hint="eastAsia" w:ascii="黑体" w:hAnsi="黑体" w:eastAsia="黑体" w:cs="黑体"/>
          <w:sz w:val="32"/>
          <w:szCs w:val="32"/>
        </w:rPr>
      </w:pPr>
    </w:p>
    <w:p>
      <w:pPr>
        <w:spacing w:line="560" w:lineRule="exact"/>
        <w:ind w:firstLine="640" w:firstLineChars="200"/>
        <w:outlineLvl w:val="1"/>
        <w:rPr>
          <w:rFonts w:hint="eastAsia" w:ascii="黑体" w:hAnsi="黑体" w:eastAsia="黑体" w:cs="黑体"/>
          <w:sz w:val="32"/>
          <w:szCs w:val="32"/>
        </w:rPr>
      </w:pPr>
    </w:p>
    <w:p>
      <w:pPr>
        <w:spacing w:line="560" w:lineRule="exact"/>
        <w:ind w:firstLine="640" w:firstLineChars="200"/>
        <w:outlineLvl w:val="1"/>
        <w:rPr>
          <w:rFonts w:ascii="黑体" w:hAnsi="黑体" w:eastAsia="黑体" w:cs="黑体"/>
          <w:sz w:val="32"/>
          <w:szCs w:val="32"/>
        </w:rPr>
      </w:pPr>
      <w:bookmarkStart w:id="24" w:name="_Toc27493"/>
      <w:r>
        <w:rPr>
          <w:rFonts w:hint="eastAsia" w:ascii="黑体" w:hAnsi="黑体" w:eastAsia="黑体" w:cs="黑体"/>
          <w:sz w:val="32"/>
          <w:szCs w:val="32"/>
        </w:rPr>
        <w:t>三、部门意见征集</w:t>
      </w:r>
      <w:bookmarkEnd w:id="23"/>
      <w:r>
        <w:rPr>
          <w:rFonts w:hint="eastAsia" w:ascii="黑体" w:hAnsi="黑体" w:eastAsia="黑体" w:cs="黑体"/>
          <w:sz w:val="32"/>
          <w:szCs w:val="32"/>
        </w:rPr>
        <w:t>及采纳情况</w:t>
      </w:r>
      <w:bookmarkEnd w:id="24"/>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2023年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日，区民政局向全区相关部门征求意见，共有</w:t>
      </w: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rPr>
        <w:t>个部门反馈意见，具体情况如下：</w:t>
      </w:r>
    </w:p>
    <w:p>
      <w:pPr>
        <w:spacing w:line="560" w:lineRule="exact"/>
        <w:ind w:firstLine="641"/>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有</w:t>
      </w:r>
      <w:r>
        <w:rPr>
          <w:rFonts w:hint="eastAsia" w:ascii="仿宋_GB2312" w:hAnsi="仿宋_GB2312" w:eastAsia="仿宋_GB2312" w:cs="仿宋_GB2312"/>
          <w:sz w:val="32"/>
          <w:szCs w:val="32"/>
          <w:highlight w:val="none"/>
          <w:lang w:val="en-US" w:eastAsia="zh-CN"/>
        </w:rPr>
        <w:t>22</w:t>
      </w:r>
      <w:r>
        <w:rPr>
          <w:rFonts w:hint="eastAsia" w:ascii="仿宋_GB2312" w:hAnsi="仿宋_GB2312" w:eastAsia="仿宋_GB2312" w:cs="仿宋_GB2312"/>
          <w:sz w:val="32"/>
          <w:szCs w:val="32"/>
          <w:highlight w:val="none"/>
        </w:rPr>
        <w:t>个部门反馈无意见，包括区</w:t>
      </w:r>
      <w:r>
        <w:rPr>
          <w:rFonts w:hint="eastAsia" w:ascii="仿宋_GB2312" w:hAnsi="仿宋_GB2312" w:eastAsia="仿宋_GB2312" w:cs="仿宋_GB2312"/>
          <w:sz w:val="32"/>
          <w:szCs w:val="32"/>
          <w:highlight w:val="none"/>
          <w:lang w:val="en-US" w:eastAsia="zh-CN"/>
        </w:rPr>
        <w:t>发展改革局</w:t>
      </w:r>
      <w:r>
        <w:rPr>
          <w:rFonts w:hint="eastAsia" w:ascii="仿宋_GB2312" w:hAnsi="仿宋_GB2312" w:eastAsia="仿宋_GB2312" w:cs="仿宋_GB2312"/>
          <w:sz w:val="32"/>
          <w:szCs w:val="32"/>
          <w:highlight w:val="none"/>
        </w:rPr>
        <w:t>、区</w:t>
      </w:r>
      <w:r>
        <w:rPr>
          <w:rFonts w:hint="eastAsia" w:ascii="仿宋_GB2312" w:hAnsi="仿宋_GB2312" w:eastAsia="仿宋_GB2312" w:cs="仿宋_GB2312"/>
          <w:sz w:val="32"/>
          <w:szCs w:val="32"/>
          <w:highlight w:val="none"/>
          <w:lang w:val="en-US" w:eastAsia="zh-CN"/>
        </w:rPr>
        <w:t>科技局</w:t>
      </w:r>
      <w:r>
        <w:rPr>
          <w:rFonts w:hint="eastAsia" w:ascii="仿宋_GB2312" w:hAnsi="仿宋_GB2312" w:eastAsia="仿宋_GB2312" w:cs="仿宋_GB2312"/>
          <w:sz w:val="32"/>
          <w:szCs w:val="32"/>
          <w:highlight w:val="none"/>
        </w:rPr>
        <w:t>、区</w:t>
      </w:r>
      <w:r>
        <w:rPr>
          <w:rFonts w:hint="eastAsia" w:ascii="仿宋_GB2312" w:hAnsi="仿宋_GB2312" w:eastAsia="仿宋_GB2312" w:cs="仿宋_GB2312"/>
          <w:sz w:val="32"/>
          <w:szCs w:val="32"/>
          <w:highlight w:val="none"/>
          <w:lang w:val="en-US" w:eastAsia="zh-CN"/>
        </w:rPr>
        <w:t>工业和信息化局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区财政局、</w:t>
      </w:r>
      <w:r>
        <w:rPr>
          <w:rFonts w:hint="eastAsia" w:ascii="仿宋_GB2312" w:hAnsi="仿宋_GB2312" w:eastAsia="仿宋_GB2312" w:cs="仿宋_GB2312"/>
          <w:sz w:val="32"/>
          <w:szCs w:val="32"/>
          <w:highlight w:val="none"/>
        </w:rPr>
        <w:t>区</w:t>
      </w:r>
      <w:r>
        <w:rPr>
          <w:rFonts w:hint="eastAsia" w:ascii="仿宋_GB2312" w:hAnsi="仿宋_GB2312" w:eastAsia="仿宋_GB2312" w:cs="仿宋_GB2312"/>
          <w:sz w:val="32"/>
          <w:szCs w:val="32"/>
          <w:highlight w:val="none"/>
          <w:lang w:val="en-US" w:eastAsia="zh-CN"/>
        </w:rPr>
        <w:t>人力资源社会保障局、区商务局、区文化和旅游局、区退役军人局、区审计局、区行政审批局、区市场监管局、区综合执法局、区统计局、区地方金融监管局、区大数据局、区信访局、公安李沧分局、沧口街道办事处、兴华路街道办事处、兴城路街道办事处、湘潭路街道办事处、楼山街道办事处；有12个部门反馈意见，均已进行修改沟通。</w:t>
      </w:r>
    </w:p>
    <w:p>
      <w:pPr>
        <w:spacing w:line="560" w:lineRule="exact"/>
        <w:ind w:firstLine="641"/>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截至2023年9月28日，所有相关部门均无意见。</w:t>
      </w:r>
    </w:p>
    <w:p>
      <w:pPr>
        <w:spacing w:line="560" w:lineRule="exact"/>
        <w:ind w:firstLine="640" w:firstLineChars="200"/>
        <w:outlineLvl w:val="1"/>
        <w:rPr>
          <w:rFonts w:ascii="黑体" w:hAnsi="黑体" w:eastAsia="黑体" w:cs="黑体"/>
          <w:sz w:val="32"/>
          <w:szCs w:val="32"/>
          <w:highlight w:val="none"/>
        </w:rPr>
      </w:pPr>
      <w:bookmarkStart w:id="25" w:name="_Toc2238"/>
      <w:bookmarkStart w:id="26" w:name="_Toc29751"/>
      <w:r>
        <w:rPr>
          <w:rFonts w:hint="eastAsia" w:ascii="黑体" w:hAnsi="黑体" w:eastAsia="黑体" w:cs="黑体"/>
          <w:sz w:val="32"/>
          <w:szCs w:val="32"/>
          <w:highlight w:val="none"/>
        </w:rPr>
        <w:t>四、专家评审</w:t>
      </w:r>
      <w:bookmarkEnd w:id="25"/>
      <w:bookmarkEnd w:id="26"/>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rPr>
        <w:t>2023年</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21</w:t>
      </w:r>
      <w:r>
        <w:rPr>
          <w:rFonts w:hint="eastAsia" w:ascii="仿宋_GB2312" w:hAnsi="仿宋_GB2312" w:eastAsia="仿宋_GB2312" w:cs="仿宋_GB2312"/>
          <w:sz w:val="32"/>
          <w:szCs w:val="32"/>
          <w:highlight w:val="none"/>
        </w:rPr>
        <w:t>日，</w:t>
      </w:r>
      <w:r>
        <w:rPr>
          <w:rFonts w:hint="eastAsia" w:ascii="仿宋_GB2312" w:hAnsi="仿宋_GB2312" w:eastAsia="仿宋_GB2312" w:cs="仿宋_GB2312"/>
          <w:sz w:val="32"/>
          <w:szCs w:val="32"/>
          <w:highlight w:val="none"/>
          <w:lang w:val="en-US" w:eastAsia="zh-CN"/>
        </w:rPr>
        <w:t>李沧</w:t>
      </w:r>
      <w:r>
        <w:rPr>
          <w:rFonts w:hint="eastAsia" w:ascii="仿宋_GB2312" w:hAnsi="仿宋_GB2312" w:eastAsia="仿宋_GB2312" w:cs="仿宋_GB2312"/>
          <w:sz w:val="32"/>
          <w:szCs w:val="32"/>
          <w:highlight w:val="none"/>
        </w:rPr>
        <w:t>区民政局组织召开了《实施</w:t>
      </w:r>
      <w:r>
        <w:rPr>
          <w:rFonts w:hint="eastAsia" w:ascii="仿宋_GB2312" w:hAnsi="仿宋_GB2312" w:eastAsia="仿宋_GB2312" w:cs="仿宋_GB2312"/>
          <w:sz w:val="32"/>
          <w:szCs w:val="32"/>
          <w:highlight w:val="none"/>
          <w:lang w:val="en-US" w:eastAsia="zh-CN"/>
        </w:rPr>
        <w:t>意见</w:t>
      </w:r>
      <w:r>
        <w:rPr>
          <w:rFonts w:hint="eastAsia" w:ascii="仿宋_GB2312" w:hAnsi="仿宋_GB2312" w:eastAsia="仿宋_GB2312" w:cs="仿宋_GB2312"/>
          <w:sz w:val="32"/>
          <w:szCs w:val="32"/>
          <w:highlight w:val="none"/>
        </w:rPr>
        <w:t>》专家评审会议。专家组认为《实施</w:t>
      </w:r>
      <w:r>
        <w:rPr>
          <w:rFonts w:hint="eastAsia" w:ascii="仿宋_GB2312" w:hAnsi="仿宋_GB2312" w:eastAsia="仿宋_GB2312" w:cs="仿宋_GB2312"/>
          <w:sz w:val="32"/>
          <w:szCs w:val="32"/>
          <w:highlight w:val="none"/>
          <w:lang w:val="en-US" w:eastAsia="zh-CN"/>
        </w:rPr>
        <w:t>意见</w:t>
      </w:r>
      <w:r>
        <w:rPr>
          <w:rFonts w:hint="eastAsia" w:ascii="仿宋_GB2312" w:hAnsi="仿宋_GB2312" w:eastAsia="仿宋_GB2312" w:cs="仿宋_GB2312"/>
          <w:sz w:val="32"/>
          <w:szCs w:val="32"/>
          <w:highlight w:val="none"/>
        </w:rPr>
        <w:t>》坚持以</w:t>
      </w:r>
      <w:r>
        <w:rPr>
          <w:rFonts w:hint="eastAsia" w:ascii="仿宋_GB2312" w:hAnsi="仿宋_GB2312" w:eastAsia="仿宋_GB2312" w:cs="仿宋_GB2312"/>
          <w:sz w:val="32"/>
          <w:szCs w:val="32"/>
        </w:rPr>
        <w:t>人民为中心的发展理念，全面贯彻</w:t>
      </w:r>
      <w:r>
        <w:rPr>
          <w:rFonts w:ascii="仿宋_GB2312" w:hAnsi="仿宋_GB2312" w:eastAsia="仿宋_GB2312" w:cs="仿宋_GB2312"/>
          <w:sz w:val="32"/>
          <w:szCs w:val="32"/>
        </w:rPr>
        <w:t>积极实施应对人口老龄化国家战略，</w:t>
      </w:r>
      <w:r>
        <w:rPr>
          <w:rFonts w:hint="eastAsia" w:ascii="仿宋_GB2312" w:hAnsi="仿宋_GB2312" w:eastAsia="仿宋_GB2312" w:cs="仿宋_GB2312"/>
          <w:sz w:val="32"/>
          <w:szCs w:val="32"/>
        </w:rPr>
        <w:t>内容</w:t>
      </w:r>
      <w:r>
        <w:rPr>
          <w:rFonts w:ascii="仿宋_GB2312" w:hAnsi="仿宋_GB2312" w:eastAsia="仿宋_GB2312" w:cs="仿宋_GB2312"/>
          <w:sz w:val="32"/>
          <w:szCs w:val="32"/>
        </w:rPr>
        <w:t>具体、</w:t>
      </w:r>
      <w:r>
        <w:rPr>
          <w:rFonts w:hint="eastAsia" w:ascii="仿宋_GB2312" w:hAnsi="仿宋_GB2312" w:eastAsia="仿宋_GB2312" w:cs="仿宋_GB2312"/>
          <w:sz w:val="32"/>
          <w:szCs w:val="32"/>
        </w:rPr>
        <w:t>实用</w:t>
      </w:r>
      <w:r>
        <w:rPr>
          <w:rFonts w:ascii="仿宋_GB2312" w:hAnsi="仿宋_GB2312" w:eastAsia="仿宋_GB2312" w:cs="仿宋_GB2312"/>
          <w:sz w:val="32"/>
          <w:szCs w:val="32"/>
        </w:rPr>
        <w:t>性强</w:t>
      </w:r>
      <w:r>
        <w:rPr>
          <w:rFonts w:hint="eastAsia" w:ascii="仿宋_GB2312" w:hAnsi="仿宋_GB2312" w:eastAsia="仿宋_GB2312" w:cs="仿宋_GB2312"/>
          <w:sz w:val="32"/>
          <w:szCs w:val="32"/>
        </w:rPr>
        <w:t>，对提升养老服务体系</w:t>
      </w:r>
      <w:r>
        <w:rPr>
          <w:rFonts w:ascii="仿宋_GB2312" w:hAnsi="仿宋_GB2312" w:eastAsia="仿宋_GB2312" w:cs="仿宋_GB2312"/>
          <w:sz w:val="32"/>
          <w:szCs w:val="32"/>
        </w:rPr>
        <w:t>建设</w:t>
      </w:r>
      <w:r>
        <w:rPr>
          <w:rFonts w:hint="eastAsia" w:ascii="仿宋_GB2312" w:hAnsi="仿宋_GB2312" w:eastAsia="仿宋_GB2312" w:cs="仿宋_GB2312"/>
          <w:sz w:val="32"/>
          <w:szCs w:val="32"/>
        </w:rPr>
        <w:t>水平具备有效的指导性</w:t>
      </w:r>
      <w:r>
        <w:rPr>
          <w:rFonts w:ascii="仿宋_GB2312" w:hAnsi="仿宋_GB2312" w:eastAsia="仿宋_GB2312" w:cs="仿宋_GB2312"/>
          <w:sz w:val="32"/>
          <w:szCs w:val="32"/>
        </w:rPr>
        <w:t>、针对性</w:t>
      </w:r>
      <w:r>
        <w:rPr>
          <w:rFonts w:hint="eastAsia" w:ascii="仿宋_GB2312" w:hAnsi="仿宋_GB2312" w:eastAsia="仿宋_GB2312" w:cs="仿宋_GB2312"/>
          <w:sz w:val="32"/>
          <w:szCs w:val="32"/>
        </w:rPr>
        <w:t>和可操作</w:t>
      </w:r>
      <w:r>
        <w:rPr>
          <w:rFonts w:ascii="仿宋_GB2312" w:hAnsi="仿宋_GB2312" w:eastAsia="仿宋_GB2312" w:cs="仿宋_GB2312"/>
          <w:sz w:val="32"/>
          <w:szCs w:val="32"/>
        </w:rPr>
        <w:t>性；</w:t>
      </w:r>
      <w:r>
        <w:rPr>
          <w:rFonts w:hint="eastAsia" w:ascii="仿宋_GB2312" w:hAnsi="仿宋_GB2312" w:eastAsia="仿宋_GB2312" w:cs="仿宋_GB2312"/>
          <w:sz w:val="32"/>
          <w:szCs w:val="32"/>
        </w:rPr>
        <w:t>同时，为进一步完善《实施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》，专家组提出了部分意见和建议。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参与评审的专家一致认为，《实施</w:t>
      </w:r>
      <w:r>
        <w:rPr>
          <w:rFonts w:hint="eastAsia" w:ascii="仿宋_GB2312" w:hAnsi="仿宋_GB2312" w:eastAsia="仿宋_GB2312" w:cs="仿宋_GB2312"/>
          <w:sz w:val="32"/>
          <w:szCs w:val="32"/>
          <w:lang w:val="en-US" w:eastAsia="zh-CN"/>
        </w:rPr>
        <w:t>意见</w:t>
      </w:r>
      <w:r>
        <w:rPr>
          <w:rFonts w:hint="eastAsia" w:ascii="仿宋_GB2312" w:hAnsi="仿宋_GB2312" w:eastAsia="仿宋_GB2312" w:cs="仿宋_GB2312"/>
          <w:sz w:val="32"/>
          <w:szCs w:val="32"/>
        </w:rPr>
        <w:t>》达到了养老服务体系创新示范区的相关要求，同意通过评审。</w:t>
      </w:r>
    </w:p>
    <w:p>
      <w:pPr>
        <w:spacing w:line="560" w:lineRule="exact"/>
        <w:ind w:firstLine="640"/>
        <w:jc w:val="center"/>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p>
    <w:p>
      <w:pPr>
        <w:spacing w:line="560" w:lineRule="exact"/>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65408" behindDoc="0" locked="0" layoutInCell="1" allowOverlap="1">
            <wp:simplePos x="0" y="0"/>
            <wp:positionH relativeFrom="column">
              <wp:posOffset>1447800</wp:posOffset>
            </wp:positionH>
            <wp:positionV relativeFrom="paragraph">
              <wp:posOffset>194310</wp:posOffset>
            </wp:positionV>
            <wp:extent cx="2693670" cy="3181985"/>
            <wp:effectExtent l="0" t="0" r="11430" b="18415"/>
            <wp:wrapTopAndBottom/>
            <wp:docPr id="4" name="图片 4" descr="169656214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6562145564"/>
                    <pic:cNvPicPr>
                      <a:picLocks noChangeAspect="1"/>
                    </pic:cNvPicPr>
                  </pic:nvPicPr>
                  <pic:blipFill>
                    <a:blip r:embed="rId7"/>
                    <a:stretch>
                      <a:fillRect/>
                    </a:stretch>
                  </pic:blipFill>
                  <pic:spPr>
                    <a:xfrm>
                      <a:off x="0" y="0"/>
                      <a:ext cx="2693670" cy="3181985"/>
                    </a:xfrm>
                    <a:prstGeom prst="rect">
                      <a:avLst/>
                    </a:prstGeom>
                  </pic:spPr>
                </pic:pic>
              </a:graphicData>
            </a:graphic>
          </wp:anchor>
        </w:drawing>
      </w:r>
      <w:r>
        <w:rPr>
          <w:rFonts w:hint="eastAsia" w:ascii="仿宋_GB2312" w:hAnsi="仿宋_GB2312" w:eastAsia="仿宋_GB2312" w:cs="仿宋_GB2312"/>
          <w:sz w:val="32"/>
          <w:szCs w:val="32"/>
        </w:rPr>
        <w:t>专家评审意见</w:t>
      </w:r>
    </w:p>
    <w:p>
      <w:pPr>
        <w:spacing w:line="560" w:lineRule="exact"/>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专家评审意见</w:t>
      </w:r>
      <w:r>
        <w:drawing>
          <wp:anchor distT="0" distB="0" distL="114300" distR="114300" simplePos="0" relativeHeight="251666432" behindDoc="0" locked="0" layoutInCell="1" allowOverlap="1">
            <wp:simplePos x="0" y="0"/>
            <wp:positionH relativeFrom="column">
              <wp:posOffset>1419860</wp:posOffset>
            </wp:positionH>
            <wp:positionV relativeFrom="paragraph">
              <wp:posOffset>208280</wp:posOffset>
            </wp:positionV>
            <wp:extent cx="2679700" cy="2976245"/>
            <wp:effectExtent l="0" t="0" r="6350" b="1460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2679700" cy="2976245"/>
                    </a:xfrm>
                    <a:prstGeom prst="rect">
                      <a:avLst/>
                    </a:prstGeom>
                    <a:noFill/>
                    <a:ln>
                      <a:noFill/>
                    </a:ln>
                  </pic:spPr>
                </pic:pic>
              </a:graphicData>
            </a:graphic>
          </wp:anchor>
        </w:drawing>
      </w: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drawing>
          <wp:anchor distT="0" distB="0" distL="114300" distR="114300" simplePos="0" relativeHeight="251663360" behindDoc="1" locked="0" layoutInCell="1" allowOverlap="1">
            <wp:simplePos x="0" y="0"/>
            <wp:positionH relativeFrom="column">
              <wp:posOffset>120015</wp:posOffset>
            </wp:positionH>
            <wp:positionV relativeFrom="paragraph">
              <wp:posOffset>240665</wp:posOffset>
            </wp:positionV>
            <wp:extent cx="5266055" cy="3879850"/>
            <wp:effectExtent l="0" t="0" r="10795" b="6350"/>
            <wp:wrapTight wrapText="bothSides">
              <wp:wrapPolygon>
                <wp:start x="0" y="0"/>
                <wp:lineTo x="0" y="21529"/>
                <wp:lineTo x="21488" y="21529"/>
                <wp:lineTo x="2148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055" cy="3879850"/>
                    </a:xfrm>
                    <a:prstGeom prst="rect">
                      <a:avLst/>
                    </a:prstGeom>
                    <a:noFill/>
                    <a:ln>
                      <a:noFill/>
                    </a:ln>
                  </pic:spPr>
                </pic:pic>
              </a:graphicData>
            </a:graphic>
          </wp:anchor>
        </w:drawing>
      </w:r>
      <w:r>
        <w:rPr>
          <w:rFonts w:hint="eastAsia" w:ascii="仿宋_GB2312" w:hAnsi="仿宋_GB2312" w:eastAsia="仿宋_GB2312" w:cs="仿宋_GB2312"/>
          <w:sz w:val="32"/>
          <w:szCs w:val="32"/>
        </w:rPr>
        <w:t>专家评审会现场情况</w:t>
      </w: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pStyle w:val="2"/>
        <w:ind w:firstLine="640"/>
        <w:rPr>
          <w:rFonts w:ascii="仿宋_GB2312" w:hAnsi="仿宋_GB2312" w:eastAsia="仿宋_GB2312" w:cs="仿宋_GB2312"/>
          <w:sz w:val="32"/>
          <w:szCs w:val="32"/>
        </w:rPr>
      </w:pPr>
    </w:p>
    <w:p>
      <w:pPr>
        <w:pStyle w:val="2"/>
        <w:ind w:firstLine="640"/>
        <w:rPr>
          <w:rFonts w:ascii="仿宋_GB2312" w:hAnsi="仿宋_GB2312" w:eastAsia="仿宋_GB2312" w:cs="仿宋_GB2312"/>
          <w:sz w:val="32"/>
          <w:szCs w:val="32"/>
        </w:rPr>
      </w:pPr>
    </w:p>
    <w:p>
      <w:pPr>
        <w:pStyle w:val="2"/>
        <w:ind w:firstLine="640"/>
        <w:rPr>
          <w:rFonts w:ascii="仿宋_GB2312" w:hAnsi="仿宋_GB2312" w:eastAsia="仿宋_GB2312" w:cs="仿宋_GB2312"/>
          <w:sz w:val="32"/>
          <w:szCs w:val="32"/>
        </w:rPr>
      </w:pPr>
    </w:p>
    <w:p>
      <w:pPr>
        <w:pStyle w:val="2"/>
        <w:ind w:firstLine="640"/>
        <w:rPr>
          <w:rFonts w:ascii="仿宋_GB2312" w:hAnsi="仿宋_GB2312" w:eastAsia="仿宋_GB2312" w:cs="仿宋_GB2312"/>
          <w:sz w:val="32"/>
          <w:szCs w:val="32"/>
        </w:rPr>
      </w:pPr>
    </w:p>
    <w:p>
      <w:pPr>
        <w:pStyle w:val="2"/>
        <w:ind w:firstLine="640"/>
        <w:rPr>
          <w:rFonts w:ascii="仿宋_GB2312" w:hAnsi="仿宋_GB2312" w:eastAsia="仿宋_GB2312" w:cs="仿宋_GB2312"/>
          <w:sz w:val="32"/>
          <w:szCs w:val="32"/>
        </w:rPr>
      </w:pPr>
    </w:p>
    <w:p>
      <w:pPr>
        <w:pStyle w:val="2"/>
        <w:ind w:firstLine="640"/>
        <w:rPr>
          <w:rFonts w:ascii="仿宋_GB2312" w:hAnsi="仿宋_GB2312" w:eastAsia="仿宋_GB2312" w:cs="仿宋_GB2312"/>
          <w:sz w:val="32"/>
          <w:szCs w:val="32"/>
        </w:rPr>
      </w:pPr>
    </w:p>
    <w:p>
      <w:pPr>
        <w:pStyle w:val="5"/>
        <w:ind w:right="300"/>
        <w:rPr>
          <w:rFonts w:ascii="方正小标宋_GBK" w:hAnsi="方正小标宋_GBK" w:eastAsia="方正小标宋_GBK" w:cs="方正小标宋_GBK"/>
          <w:sz w:val="44"/>
          <w:szCs w:val="44"/>
          <w:lang w:val="en-US" w:bidi="ar-SA"/>
        </w:rPr>
      </w:pPr>
      <w:bookmarkStart w:id="27" w:name="_Toc7318"/>
      <w:bookmarkStart w:id="28" w:name="_Toc15533"/>
      <w:r>
        <w:rPr>
          <w:rFonts w:hint="eastAsia" w:ascii="方正小标宋_GBK" w:hAnsi="方正小标宋_GBK" w:eastAsia="方正小标宋_GBK" w:cs="方正小标宋_GBK"/>
          <w:sz w:val="44"/>
          <w:szCs w:val="44"/>
          <w:lang w:val="en-US" w:bidi="ar-SA"/>
        </w:rPr>
        <w:t>第四章 风险因素识别</w:t>
      </w:r>
      <w:bookmarkEnd w:id="27"/>
      <w:bookmarkEnd w:id="28"/>
      <w:bookmarkStart w:id="29" w:name="_bookmark17"/>
      <w:bookmarkEnd w:id="29"/>
    </w:p>
    <w:p>
      <w:pPr>
        <w:pStyle w:val="5"/>
        <w:ind w:right="300" w:firstLine="640" w:firstLineChars="200"/>
        <w:jc w:val="both"/>
        <w:rPr>
          <w:sz w:val="22"/>
        </w:rPr>
      </w:pPr>
      <w:bookmarkStart w:id="30" w:name="_Toc20391"/>
      <w:r>
        <w:rPr>
          <w:rFonts w:hint="eastAsia" w:ascii="黑体" w:hAnsi="黑体" w:eastAsia="黑体" w:cs="黑体"/>
          <w:sz w:val="32"/>
          <w:szCs w:val="32"/>
          <w:lang w:val="en-US" w:bidi="ar-SA"/>
        </w:rPr>
        <w:t>一、风险识别方法</w:t>
      </w:r>
      <w:bookmarkEnd w:id="30"/>
    </w:p>
    <w:p>
      <w:pPr>
        <w:pStyle w:val="24"/>
        <w:tabs>
          <w:tab w:val="left" w:pos="689"/>
        </w:tabs>
        <w:autoSpaceDE w:val="0"/>
        <w:autoSpaceDN w:val="0"/>
        <w:spacing w:before="65" w:line="560" w:lineRule="exact"/>
        <w:ind w:left="0" w:firstLine="640" w:firstLineChars="200"/>
        <w:rPr>
          <w:rFonts w:ascii="仿宋_GB2312" w:hAnsi="仿宋_GB2312" w:eastAsia="仿宋_GB2312" w:cs="仿宋_GB2312"/>
          <w:color w:val="222222"/>
          <w:sz w:val="32"/>
          <w:szCs w:val="32"/>
          <w:shd w:val="clear" w:color="auto" w:fill="FFFFFF"/>
          <w:lang w:val="en-US" w:bidi="ar-SA"/>
        </w:rPr>
      </w:pPr>
      <w:r>
        <w:rPr>
          <w:rFonts w:hint="eastAsia" w:ascii="仿宋_GB2312" w:hAnsi="仿宋_GB2312" w:eastAsia="仿宋_GB2312" w:cs="仿宋_GB2312"/>
          <w:color w:val="222222"/>
          <w:sz w:val="32"/>
          <w:szCs w:val="32"/>
          <w:shd w:val="clear" w:color="auto" w:fill="FFFFFF"/>
          <w:lang w:val="en-US" w:bidi="ar-SA"/>
        </w:rPr>
        <w:t>根据《</w:t>
      </w:r>
      <w:r>
        <w:rPr>
          <w:rFonts w:hint="eastAsia" w:ascii="仿宋_GB2312" w:hAnsi="仿宋_GB2312" w:eastAsia="仿宋_GB2312" w:cs="仿宋_GB2312"/>
          <w:color w:val="222222"/>
          <w:sz w:val="32"/>
          <w:szCs w:val="32"/>
          <w:shd w:val="clear" w:color="auto" w:fill="FFFFFF"/>
          <w:lang w:val="en-US" w:eastAsia="zh-CN" w:bidi="ar-SA"/>
        </w:rPr>
        <w:t>李沧</w:t>
      </w:r>
      <w:r>
        <w:rPr>
          <w:rFonts w:hint="eastAsia" w:ascii="仿宋_GB2312" w:hAnsi="仿宋_GB2312" w:eastAsia="仿宋_GB2312" w:cs="仿宋_GB2312"/>
          <w:color w:val="222222"/>
          <w:sz w:val="32"/>
          <w:szCs w:val="32"/>
          <w:shd w:val="clear" w:color="auto" w:fill="FFFFFF"/>
          <w:lang w:val="en-US" w:bidi="ar-SA"/>
        </w:rPr>
        <w:t>区重大行政决策程序规定》，风险评估应当重点就决策事项可能给社会稳定、生态环境、经济等方面造成的风险以及风险的可控性进行评估。本次风险评估，主要从社会稳定风险，生态环境风险，公共安全风险，财政金融风险，舆情风险这五个风险点进行评估。</w:t>
      </w:r>
    </w:p>
    <w:p>
      <w:pPr>
        <w:pStyle w:val="24"/>
        <w:tabs>
          <w:tab w:val="left" w:pos="689"/>
        </w:tabs>
        <w:autoSpaceDE w:val="0"/>
        <w:autoSpaceDN w:val="0"/>
        <w:spacing w:before="65" w:line="560" w:lineRule="exact"/>
        <w:ind w:left="0" w:firstLine="640" w:firstLineChars="200"/>
        <w:rPr>
          <w:rFonts w:ascii="仿宋_GB2312" w:hAnsi="仿宋_GB2312" w:eastAsia="仿宋_GB2312" w:cs="仿宋_GB2312"/>
          <w:color w:val="222222"/>
          <w:sz w:val="32"/>
          <w:szCs w:val="32"/>
          <w:shd w:val="clear" w:color="auto" w:fill="FFFFFF"/>
          <w:lang w:val="en-US" w:bidi="ar-SA"/>
        </w:rPr>
      </w:pPr>
      <w:r>
        <w:rPr>
          <w:rFonts w:hint="eastAsia" w:ascii="仿宋_GB2312" w:hAnsi="仿宋_GB2312" w:eastAsia="仿宋_GB2312" w:cs="仿宋_GB2312"/>
          <w:sz w:val="32"/>
          <w:szCs w:val="32"/>
          <w:lang w:val="en-US" w:bidi="ar-SA"/>
        </w:rPr>
        <w:t>1.</w:t>
      </w:r>
      <w:r>
        <w:rPr>
          <w:rFonts w:hint="eastAsia" w:ascii="仿宋_GB2312" w:hAnsi="仿宋_GB2312" w:eastAsia="仿宋_GB2312" w:cs="仿宋_GB2312"/>
          <w:color w:val="222222"/>
          <w:sz w:val="32"/>
          <w:szCs w:val="32"/>
          <w:shd w:val="clear" w:color="auto" w:fill="FFFFFF"/>
          <w:lang w:val="en-US" w:bidi="ar-SA"/>
        </w:rPr>
        <w:t>社会稳定风险，包括可能引发复杂社会矛盾、群体性事件或过激敏感等事件的情形；</w:t>
      </w:r>
    </w:p>
    <w:p>
      <w:pPr>
        <w:pStyle w:val="24"/>
        <w:tabs>
          <w:tab w:val="left" w:pos="689"/>
        </w:tabs>
        <w:autoSpaceDE w:val="0"/>
        <w:autoSpaceDN w:val="0"/>
        <w:spacing w:before="65" w:line="560" w:lineRule="exact"/>
        <w:ind w:left="0" w:firstLine="640" w:firstLineChars="200"/>
        <w:rPr>
          <w:rFonts w:ascii="仿宋_GB2312" w:hAnsi="仿宋_GB2312" w:eastAsia="仿宋_GB2312" w:cs="仿宋_GB2312"/>
          <w:color w:val="222222"/>
          <w:sz w:val="32"/>
          <w:szCs w:val="32"/>
          <w:shd w:val="clear" w:color="auto" w:fill="FFFFFF"/>
          <w:lang w:val="en-US" w:bidi="ar-SA"/>
        </w:rPr>
      </w:pPr>
      <w:r>
        <w:rPr>
          <w:rFonts w:hint="eastAsia" w:ascii="仿宋_GB2312" w:hAnsi="仿宋_GB2312" w:eastAsia="仿宋_GB2312" w:cs="仿宋_GB2312"/>
          <w:color w:val="222222"/>
          <w:sz w:val="32"/>
          <w:szCs w:val="32"/>
          <w:shd w:val="clear" w:color="auto" w:fill="FFFFFF"/>
          <w:lang w:val="en-US" w:bidi="ar-SA"/>
        </w:rPr>
        <w:t>2.生态环境风险，包括可能造成重大环境污染、生态破坏或者次生自然灾害等不良影响的情形；</w:t>
      </w:r>
    </w:p>
    <w:p>
      <w:pPr>
        <w:pStyle w:val="24"/>
        <w:tabs>
          <w:tab w:val="left" w:pos="689"/>
        </w:tabs>
        <w:autoSpaceDE w:val="0"/>
        <w:autoSpaceDN w:val="0"/>
        <w:spacing w:before="65" w:line="560" w:lineRule="exact"/>
        <w:ind w:left="0" w:firstLine="640" w:firstLineChars="200"/>
        <w:rPr>
          <w:rFonts w:ascii="仿宋_GB2312" w:hAnsi="仿宋_GB2312" w:eastAsia="仿宋_GB2312" w:cs="仿宋_GB2312"/>
          <w:color w:val="222222"/>
          <w:sz w:val="32"/>
          <w:szCs w:val="32"/>
          <w:shd w:val="clear" w:color="auto" w:fill="FFFFFF"/>
          <w:lang w:val="en-US" w:bidi="ar-SA"/>
        </w:rPr>
      </w:pPr>
      <w:r>
        <w:rPr>
          <w:rFonts w:hint="eastAsia" w:ascii="仿宋_GB2312" w:hAnsi="仿宋_GB2312" w:eastAsia="仿宋_GB2312" w:cs="仿宋_GB2312"/>
          <w:color w:val="222222"/>
          <w:sz w:val="32"/>
          <w:szCs w:val="32"/>
          <w:shd w:val="clear" w:color="auto" w:fill="FFFFFF"/>
          <w:lang w:val="en-US" w:bidi="ar-SA"/>
        </w:rPr>
        <w:t>3.公共安全风险，包括可能存在影响公共安全因素的情形；</w:t>
      </w:r>
    </w:p>
    <w:p>
      <w:pPr>
        <w:pStyle w:val="24"/>
        <w:tabs>
          <w:tab w:val="left" w:pos="689"/>
        </w:tabs>
        <w:autoSpaceDE w:val="0"/>
        <w:autoSpaceDN w:val="0"/>
        <w:spacing w:before="65" w:line="560" w:lineRule="exact"/>
        <w:ind w:left="0" w:firstLine="640" w:firstLineChars="200"/>
        <w:rPr>
          <w:rFonts w:ascii="仿宋_GB2312" w:hAnsi="仿宋_GB2312" w:eastAsia="仿宋_GB2312" w:cs="仿宋_GB2312"/>
          <w:color w:val="222222"/>
          <w:sz w:val="32"/>
          <w:szCs w:val="32"/>
          <w:shd w:val="clear" w:color="auto" w:fill="FFFFFF"/>
          <w:lang w:val="en-US" w:bidi="ar-SA"/>
        </w:rPr>
      </w:pPr>
      <w:r>
        <w:rPr>
          <w:rFonts w:hint="eastAsia" w:ascii="仿宋_GB2312" w:hAnsi="仿宋_GB2312" w:eastAsia="仿宋_GB2312" w:cs="仿宋_GB2312"/>
          <w:color w:val="222222"/>
          <w:sz w:val="32"/>
          <w:szCs w:val="32"/>
          <w:shd w:val="clear" w:color="auto" w:fill="FFFFFF"/>
          <w:lang w:val="en-US" w:bidi="ar-SA"/>
        </w:rPr>
        <w:t>4.财政金融风险，包括可能造成大额财政资金流失、带来重大政府性债务、导致区域性或系统性金融风险隐患的情形；</w:t>
      </w:r>
    </w:p>
    <w:p>
      <w:pPr>
        <w:pStyle w:val="24"/>
        <w:tabs>
          <w:tab w:val="left" w:pos="689"/>
        </w:tabs>
        <w:autoSpaceDE w:val="0"/>
        <w:autoSpaceDN w:val="0"/>
        <w:spacing w:before="65" w:line="560" w:lineRule="exact"/>
        <w:ind w:left="0" w:firstLine="640" w:firstLineChars="200"/>
        <w:rPr>
          <w:rFonts w:ascii="仿宋_GB2312" w:hAnsi="仿宋_GB2312" w:eastAsia="仿宋_GB2312" w:cs="仿宋_GB2312"/>
          <w:color w:val="222222"/>
          <w:sz w:val="32"/>
          <w:szCs w:val="32"/>
          <w:shd w:val="clear" w:color="auto" w:fill="FFFFFF"/>
          <w:lang w:val="en-US" w:bidi="ar-SA"/>
        </w:rPr>
      </w:pPr>
      <w:r>
        <w:rPr>
          <w:rFonts w:hint="eastAsia" w:ascii="仿宋_GB2312" w:hAnsi="仿宋_GB2312" w:eastAsia="仿宋_GB2312" w:cs="仿宋_GB2312"/>
          <w:color w:val="222222"/>
          <w:sz w:val="32"/>
          <w:szCs w:val="32"/>
          <w:shd w:val="clear" w:color="auto" w:fill="FFFFFF"/>
          <w:lang w:val="en-US" w:bidi="ar-SA"/>
        </w:rPr>
        <w:t>5.舆情风险，包括可能产生负面评价、恶意炒作舆论的情形。</w:t>
      </w:r>
    </w:p>
    <w:p>
      <w:pPr>
        <w:pStyle w:val="24"/>
        <w:tabs>
          <w:tab w:val="left" w:pos="689"/>
        </w:tabs>
        <w:autoSpaceDE w:val="0"/>
        <w:autoSpaceDN w:val="0"/>
        <w:spacing w:before="65" w:line="560" w:lineRule="exact"/>
        <w:ind w:left="0" w:firstLine="640" w:firstLineChars="200"/>
        <w:rPr>
          <w:rFonts w:ascii="仿宋_GB2312" w:hAnsi="仿宋_GB2312" w:eastAsia="仿宋_GB2312" w:cs="仿宋_GB2312"/>
          <w:color w:val="222222"/>
          <w:sz w:val="32"/>
          <w:szCs w:val="32"/>
          <w:shd w:val="clear" w:color="auto" w:fill="FFFFFF"/>
          <w:lang w:val="en-US" w:bidi="ar-SA"/>
        </w:rPr>
      </w:pPr>
      <w:r>
        <w:rPr>
          <w:rFonts w:hint="eastAsia" w:ascii="仿宋_GB2312" w:hAnsi="仿宋_GB2312" w:eastAsia="仿宋_GB2312" w:cs="仿宋_GB2312"/>
          <w:color w:val="222222"/>
          <w:sz w:val="32"/>
          <w:szCs w:val="32"/>
          <w:shd w:val="clear" w:color="auto" w:fill="FFFFFF"/>
          <w:lang w:val="en-US" w:bidi="ar-SA"/>
        </w:rPr>
        <w:t>运用层次分析法，重大行政决策风险可归纳为5种类型、15个风险要素。详见表4-1。风险评估组根据风险调查结论，对15个因素进行逐项对照，识别本项目风险因素。</w:t>
      </w:r>
    </w:p>
    <w:p>
      <w:pPr>
        <w:pStyle w:val="24"/>
        <w:tabs>
          <w:tab w:val="left" w:pos="689"/>
        </w:tabs>
        <w:spacing w:before="65"/>
        <w:ind w:left="-432" w:firstLine="640" w:firstLineChars="200"/>
        <w:rPr>
          <w:rFonts w:ascii="仿宋_GB2312" w:hAnsi="仿宋_GB2312" w:eastAsia="仿宋_GB2312" w:cs="仿宋_GB2312"/>
          <w:color w:val="222222"/>
          <w:sz w:val="32"/>
          <w:szCs w:val="32"/>
          <w:shd w:val="clear" w:color="auto" w:fill="FFFFFF"/>
          <w:lang w:val="en-US" w:bidi="ar-SA"/>
        </w:rPr>
      </w:pPr>
    </w:p>
    <w:p>
      <w:pPr>
        <w:rPr>
          <w:rFonts w:ascii="仿宋_GB2312" w:hAnsi="仿宋_GB2312" w:eastAsia="仿宋_GB2312" w:cs="仿宋_GB2312"/>
          <w:color w:val="222222"/>
          <w:sz w:val="32"/>
          <w:szCs w:val="32"/>
          <w:shd w:val="clear" w:color="auto" w:fill="FFFFFF"/>
        </w:rPr>
      </w:pPr>
      <w:r>
        <w:rPr>
          <w:rFonts w:hint="eastAsia" w:ascii="仿宋_GB2312" w:hAnsi="仿宋_GB2312" w:eastAsia="仿宋_GB2312" w:cs="仿宋_GB2312"/>
          <w:color w:val="222222"/>
          <w:sz w:val="32"/>
          <w:szCs w:val="32"/>
          <w:shd w:val="clear" w:color="auto" w:fill="FFFFFF"/>
        </w:rPr>
        <w:br w:type="page"/>
      </w:r>
    </w:p>
    <w:p>
      <w:pPr>
        <w:pStyle w:val="24"/>
        <w:tabs>
          <w:tab w:val="left" w:pos="689"/>
        </w:tabs>
        <w:spacing w:before="65"/>
        <w:ind w:left="0" w:firstLine="0"/>
        <w:rPr>
          <w:rFonts w:ascii="仿宋_GB2312" w:hAnsi="仿宋_GB2312" w:eastAsia="仿宋_GB2312" w:cs="仿宋_GB2312"/>
          <w:color w:val="222222"/>
          <w:sz w:val="32"/>
          <w:szCs w:val="32"/>
          <w:shd w:val="clear" w:color="auto" w:fill="FFFFFF"/>
          <w:lang w:val="en-US" w:bidi="ar-SA"/>
        </w:rPr>
        <w:sectPr>
          <w:footerReference r:id="rId3" w:type="default"/>
          <w:pgSz w:w="11906" w:h="16838"/>
          <w:pgMar w:top="1440" w:right="1800" w:bottom="1440" w:left="1800" w:header="851" w:footer="992" w:gutter="0"/>
          <w:pgNumType w:start="1"/>
          <w:cols w:space="425" w:num="1"/>
          <w:docGrid w:type="lines" w:linePitch="312" w:charSpace="0"/>
        </w:sectPr>
      </w:pPr>
    </w:p>
    <w:p>
      <w:pPr>
        <w:pStyle w:val="24"/>
        <w:tabs>
          <w:tab w:val="left" w:pos="689"/>
        </w:tabs>
        <w:spacing w:before="65"/>
        <w:ind w:left="0" w:firstLine="0"/>
        <w:jc w:val="center"/>
        <w:rPr>
          <w:rFonts w:ascii="仿宋_GB2312" w:hAnsi="仿宋_GB2312" w:eastAsia="仿宋_GB2312" w:cs="仿宋_GB2312"/>
          <w:b/>
          <w:bCs/>
          <w:color w:val="222222"/>
          <w:sz w:val="32"/>
          <w:szCs w:val="32"/>
          <w:shd w:val="clear" w:color="auto" w:fill="FFFFFF"/>
          <w:lang w:val="en-US" w:bidi="ar-SA"/>
        </w:rPr>
      </w:pPr>
      <w:r>
        <w:rPr>
          <w:rFonts w:hint="eastAsia" w:ascii="仿宋_GB2312" w:hAnsi="仿宋_GB2312" w:eastAsia="仿宋_GB2312" w:cs="仿宋_GB2312"/>
          <w:b/>
          <w:bCs/>
          <w:color w:val="222222"/>
          <w:sz w:val="32"/>
          <w:szCs w:val="32"/>
          <w:shd w:val="clear" w:color="auto" w:fill="FFFFFF"/>
          <w:lang w:val="en-US" w:bidi="ar-SA"/>
        </w:rPr>
        <w:t>表4-1 重大行政决策事项风险因素识别表</w:t>
      </w:r>
    </w:p>
    <w:tbl>
      <w:tblPr>
        <w:tblStyle w:val="1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2334"/>
        <w:gridCol w:w="10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98" w:type="dxa"/>
          </w:tcPr>
          <w:p>
            <w:pPr>
              <w:pStyle w:val="25"/>
              <w:spacing w:before="1"/>
              <w:ind w:left="134" w:right="128"/>
              <w:rPr>
                <w:rFonts w:ascii="黑体" w:hAnsi="黑体" w:eastAsia="黑体"/>
                <w:sz w:val="28"/>
              </w:rPr>
            </w:pPr>
            <w:r>
              <w:rPr>
                <w:rFonts w:hint="eastAsia" w:ascii="黑体" w:hAnsi="黑体" w:eastAsia="黑体"/>
                <w:sz w:val="28"/>
              </w:rPr>
              <w:t>序号</w:t>
            </w:r>
          </w:p>
        </w:tc>
        <w:tc>
          <w:tcPr>
            <w:tcW w:w="2334" w:type="dxa"/>
          </w:tcPr>
          <w:p>
            <w:pPr>
              <w:pStyle w:val="25"/>
              <w:spacing w:before="1"/>
              <w:ind w:left="195" w:right="187"/>
              <w:rPr>
                <w:rFonts w:ascii="黑体" w:hAnsi="黑体" w:eastAsia="黑体"/>
                <w:sz w:val="28"/>
              </w:rPr>
            </w:pPr>
            <w:r>
              <w:rPr>
                <w:rFonts w:hint="eastAsia" w:ascii="黑体" w:hAnsi="黑体" w:eastAsia="黑体"/>
                <w:sz w:val="28"/>
              </w:rPr>
              <w:t>风险因素</w:t>
            </w:r>
          </w:p>
        </w:tc>
        <w:tc>
          <w:tcPr>
            <w:tcW w:w="10669" w:type="dxa"/>
          </w:tcPr>
          <w:p>
            <w:pPr>
              <w:pStyle w:val="25"/>
              <w:spacing w:before="1"/>
              <w:ind w:left="4016" w:right="4012"/>
              <w:rPr>
                <w:rFonts w:ascii="黑体" w:hAnsi="黑体" w:eastAsia="黑体"/>
                <w:sz w:val="28"/>
              </w:rPr>
            </w:pPr>
            <w:r>
              <w:rPr>
                <w:rFonts w:hint="eastAsia" w:ascii="黑体" w:hAnsi="黑体" w:eastAsia="黑体"/>
                <w:sz w:val="28"/>
              </w:rPr>
              <w:t>参考评价、判定标准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898" w:type="dxa"/>
            <w:vAlign w:val="center"/>
          </w:tcPr>
          <w:p>
            <w:pPr>
              <w:pStyle w:val="25"/>
              <w:spacing w:before="69"/>
              <w:ind w:left="8"/>
              <w:rPr>
                <w:rFonts w:ascii="黑体" w:hAnsi="黑体" w:eastAsia="黑体"/>
                <w:sz w:val="28"/>
              </w:rPr>
            </w:pPr>
            <w:r>
              <w:rPr>
                <w:rFonts w:hint="eastAsia" w:ascii="黑体" w:hAnsi="黑体" w:eastAsia="黑体"/>
                <w:sz w:val="28"/>
              </w:rPr>
              <w:t>一</w:t>
            </w:r>
          </w:p>
        </w:tc>
        <w:tc>
          <w:tcPr>
            <w:tcW w:w="2334" w:type="dxa"/>
            <w:vAlign w:val="center"/>
          </w:tcPr>
          <w:p>
            <w:pPr>
              <w:pStyle w:val="25"/>
              <w:spacing w:before="69"/>
              <w:ind w:left="195" w:right="187"/>
              <w:rPr>
                <w:rFonts w:ascii="黑体" w:hAnsi="黑体" w:eastAsia="黑体"/>
                <w:sz w:val="28"/>
              </w:rPr>
            </w:pPr>
            <w:r>
              <w:rPr>
                <w:rFonts w:hint="eastAsia" w:ascii="黑体" w:hAnsi="黑体" w:eastAsia="黑体"/>
                <w:sz w:val="28"/>
              </w:rPr>
              <w:t>社会稳定风险</w:t>
            </w:r>
          </w:p>
        </w:tc>
        <w:tc>
          <w:tcPr>
            <w:tcW w:w="10669" w:type="dxa"/>
            <w:vAlign w:val="center"/>
          </w:tcPr>
          <w:p>
            <w:pPr>
              <w:pStyle w:val="25"/>
              <w:spacing w:before="69"/>
              <w:ind w:left="106"/>
              <w:jc w:val="both"/>
              <w:rPr>
                <w:rFonts w:ascii="黑体" w:hAnsi="黑体" w:eastAsia="黑体"/>
                <w:sz w:val="28"/>
              </w:rPr>
            </w:pPr>
            <w:r>
              <w:rPr>
                <w:rFonts w:hint="eastAsia" w:ascii="黑体" w:hAnsi="黑体" w:eastAsia="黑体"/>
                <w:sz w:val="28"/>
              </w:rPr>
              <w:t>可能引发复杂社会矛盾、群体性事件或过激敏感等事件的情形。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898" w:type="dxa"/>
            <w:vAlign w:val="center"/>
          </w:tcPr>
          <w:p>
            <w:pPr>
              <w:pStyle w:val="25"/>
              <w:spacing w:before="1"/>
              <w:rPr>
                <w:rFonts w:ascii="Times New Roman"/>
                <w:sz w:val="24"/>
              </w:rPr>
            </w:pPr>
            <w:r>
              <w:rPr>
                <w:rFonts w:ascii="Times New Roman"/>
                <w:sz w:val="24"/>
              </w:rPr>
              <w:t>1</w:t>
            </w:r>
          </w:p>
        </w:tc>
        <w:tc>
          <w:tcPr>
            <w:tcW w:w="2334" w:type="dxa"/>
            <w:vAlign w:val="center"/>
          </w:tcPr>
          <w:p>
            <w:pPr>
              <w:pStyle w:val="25"/>
              <w:ind w:right="190"/>
              <w:rPr>
                <w:sz w:val="24"/>
              </w:rPr>
            </w:pPr>
            <w:r>
              <w:rPr>
                <w:sz w:val="24"/>
              </w:rPr>
              <w:t>复杂社会矛盾风险</w:t>
            </w:r>
          </w:p>
        </w:tc>
        <w:tc>
          <w:tcPr>
            <w:tcW w:w="10669" w:type="dxa"/>
            <w:vAlign w:val="center"/>
          </w:tcPr>
          <w:p>
            <w:pPr>
              <w:pStyle w:val="25"/>
              <w:spacing w:before="2" w:line="242" w:lineRule="auto"/>
              <w:ind w:left="106" w:right="-29"/>
              <w:jc w:val="both"/>
              <w:rPr>
                <w:sz w:val="24"/>
              </w:rPr>
            </w:pPr>
            <w:r>
              <w:rPr>
                <w:sz w:val="24"/>
              </w:rPr>
              <w:t>决策事项是否存在社会包容性问题，是否存在部分公众激烈反对，是否考虑鳏寡孤独、老弱病残孕</w:t>
            </w:r>
            <w:r>
              <w:rPr>
                <w:spacing w:val="-4"/>
                <w:sz w:val="24"/>
              </w:rPr>
              <w:t>等特殊弱势群体利益，是否与当地风俗、生活习惯和宗教信仰有冲突，是否影响公众原有社会关系，引发公众间、地区间、行业间的攀比；是否存在区域历史遗留社会矛盾问题突出，对当地人文景观</w:t>
            </w:r>
            <w:r>
              <w:rPr>
                <w:sz w:val="24"/>
              </w:rPr>
              <w:t>是否有较大破坏等。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898" w:type="dxa"/>
            <w:vAlign w:val="center"/>
          </w:tcPr>
          <w:p>
            <w:pPr>
              <w:pStyle w:val="25"/>
              <w:spacing w:before="1"/>
              <w:rPr>
                <w:rFonts w:ascii="Times New Roman"/>
                <w:sz w:val="24"/>
              </w:rPr>
            </w:pPr>
            <w:r>
              <w:rPr>
                <w:rFonts w:ascii="Times New Roman"/>
                <w:sz w:val="24"/>
              </w:rPr>
              <w:t>2</w:t>
            </w:r>
          </w:p>
        </w:tc>
        <w:tc>
          <w:tcPr>
            <w:tcW w:w="2334" w:type="dxa"/>
            <w:vAlign w:val="center"/>
          </w:tcPr>
          <w:p>
            <w:pPr>
              <w:pStyle w:val="25"/>
              <w:ind w:right="190"/>
              <w:rPr>
                <w:sz w:val="24"/>
              </w:rPr>
            </w:pPr>
            <w:r>
              <w:rPr>
                <w:sz w:val="24"/>
              </w:rPr>
              <w:t>群体性事件风险</w:t>
            </w:r>
          </w:p>
        </w:tc>
        <w:tc>
          <w:tcPr>
            <w:tcW w:w="10669" w:type="dxa"/>
            <w:vAlign w:val="center"/>
          </w:tcPr>
          <w:p>
            <w:pPr>
              <w:pStyle w:val="25"/>
              <w:spacing w:before="9" w:line="242" w:lineRule="auto"/>
              <w:ind w:left="106" w:right="103"/>
              <w:jc w:val="both"/>
              <w:rPr>
                <w:sz w:val="24"/>
              </w:rPr>
            </w:pPr>
            <w:r>
              <w:rPr>
                <w:sz w:val="24"/>
              </w:rPr>
              <w:t>决策事项是否充分考虑本区域大多数公众利益，是否得到大多数公众支持，是否及时采纳公众合理意见和建议，是否得到相关部门单位的支持配合，方案是否被大多数利益相关者接受，是否给大部分公众生产生活造成不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898" w:type="dxa"/>
            <w:vAlign w:val="center"/>
          </w:tcPr>
          <w:p>
            <w:pPr>
              <w:pStyle w:val="25"/>
              <w:rPr>
                <w:rFonts w:ascii="Times New Roman"/>
                <w:sz w:val="24"/>
              </w:rPr>
            </w:pPr>
            <w:r>
              <w:rPr>
                <w:rFonts w:ascii="Times New Roman"/>
                <w:sz w:val="24"/>
              </w:rPr>
              <w:t>3</w:t>
            </w:r>
          </w:p>
        </w:tc>
        <w:tc>
          <w:tcPr>
            <w:tcW w:w="2334" w:type="dxa"/>
            <w:vAlign w:val="center"/>
          </w:tcPr>
          <w:p>
            <w:pPr>
              <w:pStyle w:val="25"/>
              <w:ind w:right="190"/>
              <w:rPr>
                <w:sz w:val="24"/>
              </w:rPr>
            </w:pPr>
            <w:r>
              <w:rPr>
                <w:sz w:val="24"/>
              </w:rPr>
              <w:t>过激敏感事件风险</w:t>
            </w:r>
          </w:p>
        </w:tc>
        <w:tc>
          <w:tcPr>
            <w:tcW w:w="10669" w:type="dxa"/>
            <w:vAlign w:val="center"/>
          </w:tcPr>
          <w:p>
            <w:pPr>
              <w:pStyle w:val="25"/>
              <w:spacing w:before="148" w:line="242" w:lineRule="auto"/>
              <w:ind w:left="106" w:right="103"/>
              <w:jc w:val="both"/>
              <w:rPr>
                <w:sz w:val="24"/>
              </w:rPr>
            </w:pPr>
            <w:r>
              <w:rPr>
                <w:sz w:val="24"/>
              </w:rPr>
              <w:t>决策事项是否存在引发过激敏感事件的情形，决策事项是否为特殊群体留有自愿选择空间，决策事项实施过程中能否为利益严重受损个体纾困。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98" w:type="dxa"/>
            <w:vAlign w:val="center"/>
          </w:tcPr>
          <w:p>
            <w:pPr>
              <w:pStyle w:val="25"/>
              <w:spacing w:before="38"/>
              <w:ind w:left="8"/>
              <w:rPr>
                <w:rFonts w:ascii="黑体" w:hAnsi="黑体" w:eastAsia="黑体"/>
                <w:sz w:val="28"/>
              </w:rPr>
            </w:pPr>
            <w:r>
              <w:rPr>
                <w:rFonts w:hint="eastAsia" w:ascii="黑体" w:hAnsi="黑体" w:eastAsia="黑体"/>
                <w:sz w:val="28"/>
              </w:rPr>
              <w:t>二</w:t>
            </w:r>
          </w:p>
        </w:tc>
        <w:tc>
          <w:tcPr>
            <w:tcW w:w="2334" w:type="dxa"/>
            <w:vAlign w:val="center"/>
          </w:tcPr>
          <w:p>
            <w:pPr>
              <w:pStyle w:val="25"/>
              <w:spacing w:before="38"/>
              <w:ind w:left="195" w:right="187"/>
              <w:rPr>
                <w:rFonts w:ascii="黑体" w:hAnsi="黑体" w:eastAsia="黑体"/>
                <w:sz w:val="28"/>
              </w:rPr>
            </w:pPr>
            <w:r>
              <w:rPr>
                <w:rFonts w:hint="eastAsia" w:ascii="黑体" w:hAnsi="黑体" w:eastAsia="黑体"/>
                <w:sz w:val="28"/>
              </w:rPr>
              <w:t>生态环境风险</w:t>
            </w:r>
          </w:p>
        </w:tc>
        <w:tc>
          <w:tcPr>
            <w:tcW w:w="10669" w:type="dxa"/>
            <w:vAlign w:val="center"/>
          </w:tcPr>
          <w:p>
            <w:pPr>
              <w:pStyle w:val="25"/>
              <w:spacing w:before="38"/>
              <w:ind w:left="106"/>
              <w:jc w:val="both"/>
              <w:rPr>
                <w:rFonts w:ascii="黑体" w:hAnsi="黑体" w:eastAsia="黑体"/>
                <w:sz w:val="28"/>
              </w:rPr>
            </w:pPr>
            <w:r>
              <w:rPr>
                <w:rFonts w:hint="eastAsia" w:ascii="黑体" w:hAnsi="黑体" w:eastAsia="黑体"/>
                <w:sz w:val="28"/>
              </w:rPr>
              <w:t>可能造成重大环境污染、生态破坏或者次生自然灾害等不良影响的情形。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98" w:type="dxa"/>
            <w:vAlign w:val="center"/>
          </w:tcPr>
          <w:p>
            <w:pPr>
              <w:pStyle w:val="25"/>
              <w:rPr>
                <w:rFonts w:ascii="Times New Roman"/>
                <w:sz w:val="24"/>
              </w:rPr>
            </w:pPr>
            <w:r>
              <w:rPr>
                <w:rFonts w:ascii="Times New Roman"/>
                <w:sz w:val="24"/>
              </w:rPr>
              <w:t>1</w:t>
            </w:r>
          </w:p>
        </w:tc>
        <w:tc>
          <w:tcPr>
            <w:tcW w:w="2334" w:type="dxa"/>
            <w:vAlign w:val="center"/>
          </w:tcPr>
          <w:p>
            <w:pPr>
              <w:pStyle w:val="25"/>
              <w:spacing w:before="1"/>
              <w:ind w:right="190"/>
              <w:rPr>
                <w:sz w:val="24"/>
                <w:lang w:val="en-US"/>
              </w:rPr>
            </w:pPr>
            <w:r>
              <w:rPr>
                <w:sz w:val="24"/>
              </w:rPr>
              <w:t>重大环境污染风险</w:t>
            </w:r>
          </w:p>
        </w:tc>
        <w:tc>
          <w:tcPr>
            <w:tcW w:w="10669" w:type="dxa"/>
          </w:tcPr>
          <w:p>
            <w:pPr>
              <w:pStyle w:val="25"/>
              <w:spacing w:before="79" w:line="242" w:lineRule="auto"/>
              <w:ind w:left="106" w:right="103"/>
              <w:jc w:val="both"/>
              <w:rPr>
                <w:sz w:val="24"/>
              </w:rPr>
            </w:pPr>
            <w:r>
              <w:rPr>
                <w:sz w:val="24"/>
              </w:rPr>
              <w:t>决策事项实施是否会导致污染物排放总量超出环境承载能力，造成重大环境污染，是否会对土壤、大气、河流、海域、山体等生态环境造成破坏，影响区域生物多样性及其可持续性；是否存在环境修复困难或无法修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98" w:type="dxa"/>
            <w:vAlign w:val="center"/>
          </w:tcPr>
          <w:p>
            <w:pPr>
              <w:pStyle w:val="25"/>
              <w:rPr>
                <w:rFonts w:ascii="Times New Roman"/>
                <w:sz w:val="24"/>
              </w:rPr>
            </w:pPr>
            <w:r>
              <w:rPr>
                <w:rFonts w:ascii="Times New Roman"/>
                <w:sz w:val="24"/>
              </w:rPr>
              <w:t>2</w:t>
            </w:r>
          </w:p>
        </w:tc>
        <w:tc>
          <w:tcPr>
            <w:tcW w:w="2334" w:type="dxa"/>
            <w:vAlign w:val="center"/>
          </w:tcPr>
          <w:p>
            <w:pPr>
              <w:pStyle w:val="25"/>
              <w:ind w:right="190"/>
              <w:rPr>
                <w:sz w:val="24"/>
                <w:lang w:val="en-US"/>
              </w:rPr>
            </w:pPr>
            <w:r>
              <w:rPr>
                <w:sz w:val="24"/>
              </w:rPr>
              <w:t>生态破坏风险</w:t>
            </w:r>
          </w:p>
        </w:tc>
        <w:tc>
          <w:tcPr>
            <w:tcW w:w="10669" w:type="dxa"/>
          </w:tcPr>
          <w:p>
            <w:pPr>
              <w:pStyle w:val="25"/>
              <w:spacing w:before="50" w:line="242" w:lineRule="auto"/>
              <w:ind w:left="106" w:right="103"/>
              <w:jc w:val="both"/>
              <w:rPr>
                <w:sz w:val="24"/>
              </w:rPr>
            </w:pPr>
            <w:r>
              <w:rPr>
                <w:sz w:val="24"/>
              </w:rPr>
              <w:t>决策事项实施是否存在突破生态保护红线的可能，是否会大幅增加矿物、岩石和化石燃料等不可再生自然资源的消耗量，是否会破坏土壤、动植物等可再生资源的持续再生更新，是否超过区域资源环境承载能力。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98" w:type="dxa"/>
            <w:vAlign w:val="center"/>
          </w:tcPr>
          <w:p>
            <w:pPr>
              <w:pStyle w:val="25"/>
              <w:rPr>
                <w:rFonts w:ascii="Times New Roman"/>
                <w:sz w:val="24"/>
              </w:rPr>
            </w:pPr>
            <w:r>
              <w:rPr>
                <w:rFonts w:ascii="Times New Roman"/>
                <w:sz w:val="24"/>
              </w:rPr>
              <w:t>3</w:t>
            </w:r>
          </w:p>
        </w:tc>
        <w:tc>
          <w:tcPr>
            <w:tcW w:w="2334" w:type="dxa"/>
            <w:vAlign w:val="center"/>
          </w:tcPr>
          <w:p>
            <w:pPr>
              <w:pStyle w:val="25"/>
              <w:ind w:right="190"/>
              <w:rPr>
                <w:sz w:val="24"/>
                <w:lang w:val="en-US"/>
              </w:rPr>
            </w:pPr>
            <w:r>
              <w:rPr>
                <w:sz w:val="24"/>
              </w:rPr>
              <w:t>次生自然灾害风险</w:t>
            </w:r>
          </w:p>
        </w:tc>
        <w:tc>
          <w:tcPr>
            <w:tcW w:w="10669" w:type="dxa"/>
          </w:tcPr>
          <w:p>
            <w:pPr>
              <w:pStyle w:val="25"/>
              <w:spacing w:before="203" w:line="242" w:lineRule="auto"/>
              <w:ind w:left="106" w:right="103"/>
              <w:jc w:val="left"/>
              <w:rPr>
                <w:sz w:val="24"/>
              </w:rPr>
            </w:pPr>
            <w:r>
              <w:rPr>
                <w:sz w:val="24"/>
              </w:rPr>
              <w:t>决策事项实施是否能降低气象灾害、海洋灾害、洪水灾害、地质灾害、地震灾害、农作物生物灾害和森林生物灾害、森林火灾等引发次生自然灾害的影响程度。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98" w:type="dxa"/>
            <w:vAlign w:val="center"/>
          </w:tcPr>
          <w:p>
            <w:pPr>
              <w:pStyle w:val="25"/>
              <w:rPr>
                <w:rFonts w:ascii="Times New Roman"/>
                <w:sz w:val="24"/>
              </w:rPr>
            </w:pPr>
            <w:r>
              <w:rPr>
                <w:rFonts w:hint="eastAsia" w:ascii="Times New Roman"/>
                <w:sz w:val="24"/>
                <w:lang w:val="en-US"/>
              </w:rPr>
              <w:t>4</w:t>
            </w:r>
          </w:p>
        </w:tc>
        <w:tc>
          <w:tcPr>
            <w:tcW w:w="2334" w:type="dxa"/>
            <w:vAlign w:val="center"/>
          </w:tcPr>
          <w:p>
            <w:pPr>
              <w:pStyle w:val="25"/>
              <w:spacing w:before="204"/>
              <w:ind w:right="190"/>
              <w:rPr>
                <w:sz w:val="24"/>
              </w:rPr>
            </w:pPr>
            <w:r>
              <w:rPr>
                <w:sz w:val="24"/>
              </w:rPr>
              <w:t>人居环境质量风险</w:t>
            </w:r>
          </w:p>
        </w:tc>
        <w:tc>
          <w:tcPr>
            <w:tcW w:w="10669" w:type="dxa"/>
            <w:vAlign w:val="center"/>
          </w:tcPr>
          <w:p>
            <w:pPr>
              <w:pStyle w:val="25"/>
              <w:spacing w:before="48" w:line="242" w:lineRule="auto"/>
              <w:ind w:left="106" w:right="103"/>
              <w:jc w:val="both"/>
              <w:rPr>
                <w:sz w:val="24"/>
              </w:rPr>
            </w:pPr>
            <w:r>
              <w:rPr>
                <w:sz w:val="24"/>
              </w:rPr>
              <w:t>决策事项实施是否会导致区域人居环境质量较大幅下降，是否存在辐射污染、土壤污染、光污染、噪声和震动、大气污染、地表水污染等严重影响人群健康。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8" w:type="dxa"/>
          </w:tcPr>
          <w:p>
            <w:pPr>
              <w:pStyle w:val="25"/>
              <w:spacing w:before="57"/>
              <w:ind w:left="8"/>
              <w:rPr>
                <w:rFonts w:ascii="黑体" w:hAnsi="黑体" w:eastAsia="黑体"/>
                <w:sz w:val="28"/>
                <w:szCs w:val="22"/>
              </w:rPr>
            </w:pPr>
            <w:r>
              <w:rPr>
                <w:rFonts w:hint="eastAsia" w:ascii="黑体" w:hAnsi="黑体" w:eastAsia="黑体"/>
                <w:sz w:val="28"/>
              </w:rPr>
              <w:t>三</w:t>
            </w:r>
          </w:p>
        </w:tc>
        <w:tc>
          <w:tcPr>
            <w:tcW w:w="2334" w:type="dxa"/>
          </w:tcPr>
          <w:p>
            <w:pPr>
              <w:pStyle w:val="25"/>
              <w:spacing w:before="57"/>
              <w:ind w:left="195" w:right="187"/>
              <w:rPr>
                <w:rFonts w:ascii="黑体" w:hAnsi="黑体" w:eastAsia="黑体"/>
                <w:sz w:val="28"/>
                <w:szCs w:val="22"/>
              </w:rPr>
            </w:pPr>
            <w:r>
              <w:rPr>
                <w:rFonts w:hint="eastAsia" w:ascii="黑体" w:hAnsi="黑体" w:eastAsia="黑体"/>
                <w:sz w:val="28"/>
                <w:lang w:val="en-US"/>
              </w:rPr>
              <w:t>公共</w:t>
            </w:r>
            <w:r>
              <w:rPr>
                <w:rFonts w:hint="eastAsia" w:ascii="黑体" w:hAnsi="黑体" w:eastAsia="黑体"/>
                <w:sz w:val="28"/>
              </w:rPr>
              <w:t>安全风险</w:t>
            </w:r>
          </w:p>
        </w:tc>
        <w:tc>
          <w:tcPr>
            <w:tcW w:w="10669" w:type="dxa"/>
          </w:tcPr>
          <w:p>
            <w:pPr>
              <w:pStyle w:val="25"/>
              <w:spacing w:before="57"/>
              <w:ind w:left="106"/>
              <w:jc w:val="left"/>
              <w:rPr>
                <w:rFonts w:ascii="黑体" w:hAnsi="黑体" w:eastAsia="黑体"/>
                <w:sz w:val="28"/>
                <w:szCs w:val="22"/>
              </w:rPr>
            </w:pPr>
            <w:r>
              <w:rPr>
                <w:rFonts w:hint="eastAsia" w:ascii="黑体" w:hAnsi="黑体" w:eastAsia="黑体"/>
                <w:sz w:val="28"/>
              </w:rPr>
              <w:t>可能存在影响</w:t>
            </w:r>
            <w:r>
              <w:rPr>
                <w:rFonts w:hint="eastAsia" w:ascii="黑体" w:hAnsi="黑体" w:eastAsia="黑体"/>
                <w:sz w:val="28"/>
                <w:lang w:val="en-US"/>
              </w:rPr>
              <w:t>公共</w:t>
            </w:r>
            <w:r>
              <w:rPr>
                <w:rFonts w:hint="eastAsia" w:ascii="黑体" w:hAnsi="黑体" w:eastAsia="黑体"/>
                <w:sz w:val="28"/>
              </w:rPr>
              <w:t>安全因素的情形。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898" w:type="dxa"/>
            <w:vAlign w:val="center"/>
          </w:tcPr>
          <w:p>
            <w:pPr>
              <w:pStyle w:val="25"/>
              <w:rPr>
                <w:rFonts w:ascii="Times New Roman"/>
                <w:sz w:val="24"/>
                <w:szCs w:val="22"/>
              </w:rPr>
            </w:pPr>
            <w:r>
              <w:rPr>
                <w:rFonts w:ascii="Times New Roman"/>
                <w:sz w:val="24"/>
              </w:rPr>
              <w:t>1</w:t>
            </w:r>
          </w:p>
        </w:tc>
        <w:tc>
          <w:tcPr>
            <w:tcW w:w="2334" w:type="dxa"/>
            <w:vAlign w:val="center"/>
          </w:tcPr>
          <w:p>
            <w:pPr>
              <w:pStyle w:val="25"/>
              <w:spacing w:before="148"/>
              <w:ind w:right="190"/>
              <w:rPr>
                <w:sz w:val="24"/>
                <w:szCs w:val="22"/>
              </w:rPr>
            </w:pPr>
            <w:r>
              <w:rPr>
                <w:sz w:val="24"/>
              </w:rPr>
              <w:t>日常</w:t>
            </w:r>
            <w:r>
              <w:rPr>
                <w:rFonts w:hint="eastAsia"/>
                <w:sz w:val="24"/>
                <w:lang w:val="en-US"/>
              </w:rPr>
              <w:t>公共</w:t>
            </w:r>
            <w:r>
              <w:rPr>
                <w:sz w:val="24"/>
              </w:rPr>
              <w:t>安全风险</w:t>
            </w:r>
          </w:p>
        </w:tc>
        <w:tc>
          <w:tcPr>
            <w:tcW w:w="10669" w:type="dxa"/>
          </w:tcPr>
          <w:p>
            <w:pPr>
              <w:pStyle w:val="25"/>
              <w:spacing w:before="115" w:line="242" w:lineRule="auto"/>
              <w:ind w:left="106" w:right="99"/>
              <w:jc w:val="both"/>
              <w:rPr>
                <w:sz w:val="24"/>
                <w:szCs w:val="22"/>
              </w:rPr>
            </w:pPr>
            <w:r>
              <w:rPr>
                <w:sz w:val="24"/>
              </w:rPr>
              <w:t>决策事项是否会影响公共安全，包含信息安全</w:t>
            </w:r>
            <w:r>
              <w:rPr>
                <w:rFonts w:hint="eastAsia"/>
                <w:sz w:val="24"/>
                <w:lang w:val="en-US"/>
              </w:rPr>
              <w:t>等</w:t>
            </w:r>
            <w:r>
              <w:rPr>
                <w:rFonts w:hint="eastAsia"/>
                <w:sz w:val="24"/>
              </w:rPr>
              <w:t>。</w:t>
            </w:r>
            <w:r>
              <w:rPr>
                <w:sz w:val="24"/>
              </w:rPr>
              <w:t>涉及相关设施设备是否完备，安全预防控制体系建设是否存在漏洞，相关安全法制体系、安全责任制度体系、安全基层组织架构是否完备，是否在主体责任落实、职业健康管理、风险分级管控、隐患排查治理、安全监管执法等方面存在重大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898" w:type="dxa"/>
          </w:tcPr>
          <w:p>
            <w:pPr>
              <w:pStyle w:val="25"/>
              <w:jc w:val="left"/>
              <w:rPr>
                <w:rFonts w:ascii="Times New Roman"/>
                <w:sz w:val="26"/>
              </w:rPr>
            </w:pPr>
          </w:p>
          <w:p>
            <w:pPr>
              <w:pStyle w:val="25"/>
              <w:spacing w:before="177"/>
              <w:ind w:left="6"/>
              <w:rPr>
                <w:rFonts w:ascii="Times New Roman"/>
                <w:sz w:val="24"/>
              </w:rPr>
            </w:pPr>
            <w:r>
              <w:rPr>
                <w:rFonts w:ascii="Times New Roman"/>
                <w:sz w:val="24"/>
              </w:rPr>
              <w:t>2</w:t>
            </w:r>
          </w:p>
        </w:tc>
        <w:tc>
          <w:tcPr>
            <w:tcW w:w="2334" w:type="dxa"/>
            <w:vAlign w:val="center"/>
          </w:tcPr>
          <w:p>
            <w:pPr>
              <w:pStyle w:val="25"/>
              <w:spacing w:before="189"/>
              <w:ind w:left="195" w:right="190"/>
              <w:jc w:val="center"/>
              <w:rPr>
                <w:sz w:val="24"/>
                <w:lang w:val="en-US"/>
              </w:rPr>
            </w:pPr>
            <w:r>
              <w:rPr>
                <w:sz w:val="24"/>
              </w:rPr>
              <w:t>突发安全事故风险</w:t>
            </w:r>
          </w:p>
        </w:tc>
        <w:tc>
          <w:tcPr>
            <w:tcW w:w="10669" w:type="dxa"/>
          </w:tcPr>
          <w:p>
            <w:pPr>
              <w:pStyle w:val="25"/>
              <w:spacing w:line="242" w:lineRule="auto"/>
              <w:ind w:left="106" w:right="95"/>
              <w:jc w:val="both"/>
              <w:rPr>
                <w:sz w:val="24"/>
              </w:rPr>
            </w:pPr>
            <w:r>
              <w:rPr>
                <w:sz w:val="24"/>
              </w:rPr>
              <w:t>决策事项是否涉及易燃易爆物品、危险化学品等危险物品的生产、经营、储存、运输，矿山、金属冶炼、城市轨道交通运营、建筑施工以及宾馆、商场、娱乐场所、旅游景区等人员密集场所经营管</w:t>
            </w:r>
            <w:r>
              <w:rPr>
                <w:spacing w:val="-6"/>
                <w:sz w:val="24"/>
              </w:rPr>
              <w:t>理，规划重点项目是否形成重大危险源，是否存在发生突发事故的可能；决策事项应急管理</w:t>
            </w:r>
            <w:r>
              <w:rPr>
                <w:rFonts w:ascii="Times New Roman" w:hAnsi="Times New Roman" w:eastAsia="Times New Roman"/>
                <w:sz w:val="24"/>
              </w:rPr>
              <w:t>“</w:t>
            </w:r>
            <w:r>
              <w:rPr>
                <w:spacing w:val="-5"/>
                <w:sz w:val="24"/>
              </w:rPr>
              <w:t>一案三</w:t>
            </w:r>
            <w:r>
              <w:rPr>
                <w:sz w:val="24"/>
              </w:rPr>
              <w:t>制</w:t>
            </w:r>
            <w:r>
              <w:rPr>
                <w:rFonts w:ascii="Times New Roman" w:hAnsi="Times New Roman" w:eastAsia="Times New Roman"/>
                <w:sz w:val="24"/>
              </w:rPr>
              <w:t>”</w:t>
            </w:r>
            <w:r>
              <w:rPr>
                <w:sz w:val="24"/>
              </w:rPr>
              <w:t>、监测预警体系是否完善，是否具备应急救援保障能力。</w:t>
            </w:r>
          </w:p>
        </w:tc>
      </w:tr>
    </w:tbl>
    <w:p>
      <w:pPr>
        <w:pStyle w:val="24"/>
        <w:tabs>
          <w:tab w:val="left" w:pos="689"/>
        </w:tabs>
        <w:spacing w:before="65"/>
        <w:ind w:left="0" w:firstLine="0"/>
        <w:rPr>
          <w:rFonts w:ascii="仿宋_GB2312" w:hAnsi="仿宋_GB2312" w:eastAsia="仿宋_GB2312" w:cs="仿宋_GB2312"/>
          <w:color w:val="222222"/>
          <w:sz w:val="32"/>
          <w:szCs w:val="32"/>
          <w:shd w:val="clear" w:color="auto" w:fill="FFFFFF"/>
          <w:lang w:val="en-US" w:bidi="ar-SA"/>
        </w:rPr>
        <w:sectPr>
          <w:pgSz w:w="16838" w:h="11906" w:orient="landscape"/>
          <w:pgMar w:top="1800" w:right="1440" w:bottom="1800" w:left="1440" w:header="851" w:footer="992" w:gutter="0"/>
          <w:cols w:space="425" w:num="1"/>
          <w:docGrid w:type="lines" w:linePitch="312" w:charSpace="0"/>
        </w:sectPr>
      </w:pPr>
    </w:p>
    <w:p>
      <w:pPr>
        <w:pStyle w:val="24"/>
        <w:tabs>
          <w:tab w:val="left" w:pos="689"/>
        </w:tabs>
        <w:spacing w:before="65"/>
        <w:ind w:left="0" w:firstLine="0"/>
        <w:rPr>
          <w:rFonts w:ascii="仿宋_GB2312" w:hAnsi="仿宋_GB2312" w:eastAsia="仿宋_GB2312" w:cs="仿宋_GB2312"/>
          <w:color w:val="222222"/>
          <w:sz w:val="32"/>
          <w:szCs w:val="32"/>
          <w:shd w:val="clear" w:color="auto" w:fill="FFFFFF"/>
          <w:lang w:val="en-US" w:bidi="ar-SA"/>
        </w:rPr>
      </w:pPr>
    </w:p>
    <w:tbl>
      <w:tblPr>
        <w:tblStyle w:val="13"/>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2"/>
        <w:gridCol w:w="2355"/>
        <w:gridCol w:w="105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72" w:type="dxa"/>
          </w:tcPr>
          <w:p>
            <w:pPr>
              <w:pStyle w:val="25"/>
              <w:spacing w:before="1"/>
              <w:ind w:left="134" w:right="128"/>
              <w:rPr>
                <w:rFonts w:ascii="黑体" w:hAnsi="黑体" w:eastAsia="黑体"/>
                <w:sz w:val="28"/>
              </w:rPr>
            </w:pPr>
            <w:r>
              <w:rPr>
                <w:rFonts w:hint="eastAsia" w:ascii="黑体" w:hAnsi="黑体" w:eastAsia="黑体"/>
                <w:sz w:val="28"/>
              </w:rPr>
              <w:t>序号</w:t>
            </w:r>
          </w:p>
        </w:tc>
        <w:tc>
          <w:tcPr>
            <w:tcW w:w="2355" w:type="dxa"/>
          </w:tcPr>
          <w:p>
            <w:pPr>
              <w:pStyle w:val="25"/>
              <w:spacing w:before="1"/>
              <w:ind w:left="195" w:right="187"/>
              <w:rPr>
                <w:rFonts w:ascii="黑体" w:hAnsi="黑体" w:eastAsia="黑体"/>
                <w:sz w:val="28"/>
              </w:rPr>
            </w:pPr>
            <w:r>
              <w:rPr>
                <w:rFonts w:hint="eastAsia" w:ascii="黑体" w:hAnsi="黑体" w:eastAsia="黑体"/>
                <w:sz w:val="28"/>
              </w:rPr>
              <w:t>风险因素</w:t>
            </w:r>
          </w:p>
        </w:tc>
        <w:tc>
          <w:tcPr>
            <w:tcW w:w="10598" w:type="dxa"/>
          </w:tcPr>
          <w:p>
            <w:pPr>
              <w:pStyle w:val="25"/>
              <w:spacing w:before="1"/>
              <w:ind w:left="4016" w:right="4012"/>
              <w:rPr>
                <w:rFonts w:ascii="黑体" w:hAnsi="黑体" w:eastAsia="黑体"/>
                <w:sz w:val="28"/>
              </w:rPr>
            </w:pPr>
            <w:r>
              <w:rPr>
                <w:rFonts w:hint="eastAsia" w:ascii="黑体" w:hAnsi="黑体" w:eastAsia="黑体"/>
                <w:sz w:val="28"/>
              </w:rPr>
              <w:t>参考评价、判定标准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872" w:type="dxa"/>
            <w:vAlign w:val="center"/>
          </w:tcPr>
          <w:p>
            <w:pPr>
              <w:pStyle w:val="25"/>
              <w:spacing w:before="133"/>
              <w:ind w:left="8"/>
              <w:rPr>
                <w:rFonts w:ascii="黑体" w:hAnsi="黑体" w:eastAsia="黑体"/>
                <w:sz w:val="28"/>
              </w:rPr>
            </w:pPr>
            <w:r>
              <w:rPr>
                <w:rFonts w:hint="eastAsia" w:ascii="黑体" w:hAnsi="黑体" w:eastAsia="黑体"/>
                <w:sz w:val="28"/>
              </w:rPr>
              <w:t>四</w:t>
            </w:r>
          </w:p>
        </w:tc>
        <w:tc>
          <w:tcPr>
            <w:tcW w:w="2355" w:type="dxa"/>
            <w:vAlign w:val="center"/>
          </w:tcPr>
          <w:p>
            <w:pPr>
              <w:pStyle w:val="25"/>
              <w:spacing w:before="133"/>
              <w:ind w:left="195" w:right="187"/>
              <w:rPr>
                <w:rFonts w:ascii="黑体" w:hAnsi="黑体" w:eastAsia="黑体"/>
                <w:sz w:val="28"/>
              </w:rPr>
            </w:pPr>
            <w:r>
              <w:rPr>
                <w:rFonts w:hint="eastAsia" w:ascii="黑体" w:hAnsi="黑体" w:eastAsia="黑体"/>
                <w:sz w:val="28"/>
              </w:rPr>
              <w:t>财政金融风险</w:t>
            </w:r>
          </w:p>
        </w:tc>
        <w:tc>
          <w:tcPr>
            <w:tcW w:w="10598" w:type="dxa"/>
            <w:vAlign w:val="center"/>
          </w:tcPr>
          <w:p>
            <w:pPr>
              <w:pStyle w:val="25"/>
              <w:autoSpaceDE w:val="0"/>
              <w:autoSpaceDN w:val="0"/>
              <w:spacing w:before="61" w:line="560" w:lineRule="exact"/>
              <w:ind w:left="108" w:right="96"/>
              <w:jc w:val="both"/>
              <w:rPr>
                <w:rFonts w:ascii="黑体" w:hAnsi="黑体" w:eastAsia="黑体"/>
                <w:sz w:val="28"/>
              </w:rPr>
            </w:pPr>
            <w:r>
              <w:rPr>
                <w:rFonts w:hint="eastAsia" w:ascii="黑体" w:hAnsi="黑体" w:eastAsia="黑体"/>
                <w:sz w:val="28"/>
              </w:rPr>
              <w:t>可能造成大额财政资金流失、带来重大政府性债务、导致区域性或系统性金融风险隐患的情形。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872" w:type="dxa"/>
            <w:vAlign w:val="center"/>
          </w:tcPr>
          <w:p>
            <w:pPr>
              <w:pStyle w:val="25"/>
              <w:rPr>
                <w:rFonts w:ascii="Times New Roman"/>
                <w:sz w:val="24"/>
              </w:rPr>
            </w:pPr>
            <w:r>
              <w:rPr>
                <w:rFonts w:ascii="Times New Roman"/>
                <w:sz w:val="24"/>
              </w:rPr>
              <w:t>1</w:t>
            </w:r>
          </w:p>
        </w:tc>
        <w:tc>
          <w:tcPr>
            <w:tcW w:w="2355" w:type="dxa"/>
            <w:vAlign w:val="center"/>
          </w:tcPr>
          <w:p>
            <w:pPr>
              <w:pStyle w:val="25"/>
              <w:ind w:right="190"/>
              <w:jc w:val="center"/>
              <w:rPr>
                <w:sz w:val="24"/>
              </w:rPr>
            </w:pPr>
            <w:r>
              <w:rPr>
                <w:sz w:val="24"/>
              </w:rPr>
              <w:t>财政承受能力风险</w:t>
            </w:r>
          </w:p>
        </w:tc>
        <w:tc>
          <w:tcPr>
            <w:tcW w:w="10598" w:type="dxa"/>
            <w:vAlign w:val="center"/>
          </w:tcPr>
          <w:p>
            <w:pPr>
              <w:pStyle w:val="25"/>
              <w:spacing w:before="21" w:line="242" w:lineRule="auto"/>
              <w:ind w:left="106" w:right="103"/>
              <w:jc w:val="both"/>
              <w:rPr>
                <w:sz w:val="24"/>
              </w:rPr>
            </w:pPr>
            <w:r>
              <w:rPr>
                <w:sz w:val="24"/>
              </w:rPr>
              <w:t>决策事项实施是否会造成大额财政资金流失、带来重大政府性债务，是否存在政策性返还、减税降费等造成财政收入大幅下降，重点项目投资、运营补贴、经费保障等是否会造成政府支出和债务增加，甚至超出政府财政承受能力、造成财政支付危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872" w:type="dxa"/>
            <w:vAlign w:val="center"/>
          </w:tcPr>
          <w:p>
            <w:pPr>
              <w:pStyle w:val="25"/>
              <w:spacing w:before="1"/>
              <w:rPr>
                <w:rFonts w:ascii="Times New Roman"/>
                <w:sz w:val="24"/>
              </w:rPr>
            </w:pPr>
            <w:r>
              <w:rPr>
                <w:rFonts w:ascii="Times New Roman"/>
                <w:sz w:val="24"/>
              </w:rPr>
              <w:t>2</w:t>
            </w:r>
          </w:p>
        </w:tc>
        <w:tc>
          <w:tcPr>
            <w:tcW w:w="2355" w:type="dxa"/>
            <w:vAlign w:val="center"/>
          </w:tcPr>
          <w:p>
            <w:pPr>
              <w:pStyle w:val="25"/>
              <w:ind w:left="195" w:right="190"/>
              <w:rPr>
                <w:sz w:val="24"/>
              </w:rPr>
            </w:pPr>
            <w:r>
              <w:rPr>
                <w:sz w:val="24"/>
              </w:rPr>
              <w:t>财政投资效益风险</w:t>
            </w:r>
          </w:p>
        </w:tc>
        <w:tc>
          <w:tcPr>
            <w:tcW w:w="10598" w:type="dxa"/>
            <w:vAlign w:val="center"/>
          </w:tcPr>
          <w:p>
            <w:pPr>
              <w:pStyle w:val="25"/>
              <w:spacing w:before="98" w:line="242" w:lineRule="auto"/>
              <w:ind w:left="106" w:right="103"/>
              <w:jc w:val="both"/>
              <w:rPr>
                <w:sz w:val="24"/>
              </w:rPr>
            </w:pPr>
            <w:r>
              <w:rPr>
                <w:sz w:val="24"/>
              </w:rPr>
              <w:t>决策事项涉及财政资金筹措及支付模式、对象是否合理，是否存在投资规模过大、投资效益差、重复建设、过度建设，造成财政资金浪费、错配，是否涉及违规举债、担保行为。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872" w:type="dxa"/>
            <w:vAlign w:val="center"/>
          </w:tcPr>
          <w:p>
            <w:pPr>
              <w:pStyle w:val="25"/>
              <w:spacing w:before="57"/>
              <w:ind w:left="6"/>
              <w:rPr>
                <w:rFonts w:ascii="Times New Roman"/>
                <w:sz w:val="24"/>
              </w:rPr>
            </w:pPr>
            <w:r>
              <w:rPr>
                <w:rFonts w:ascii="Times New Roman"/>
                <w:sz w:val="24"/>
              </w:rPr>
              <w:t>3</w:t>
            </w:r>
          </w:p>
        </w:tc>
        <w:tc>
          <w:tcPr>
            <w:tcW w:w="2355" w:type="dxa"/>
            <w:vAlign w:val="center"/>
          </w:tcPr>
          <w:p>
            <w:pPr>
              <w:pStyle w:val="25"/>
              <w:spacing w:before="45"/>
              <w:ind w:left="195" w:right="190"/>
              <w:rPr>
                <w:sz w:val="24"/>
              </w:rPr>
            </w:pPr>
            <w:r>
              <w:rPr>
                <w:sz w:val="24"/>
              </w:rPr>
              <w:t>金融风险</w:t>
            </w:r>
          </w:p>
        </w:tc>
        <w:tc>
          <w:tcPr>
            <w:tcW w:w="10598" w:type="dxa"/>
            <w:vAlign w:val="center"/>
          </w:tcPr>
          <w:p>
            <w:pPr>
              <w:pStyle w:val="25"/>
              <w:spacing w:before="45"/>
              <w:ind w:left="106"/>
              <w:jc w:val="left"/>
              <w:rPr>
                <w:sz w:val="24"/>
              </w:rPr>
            </w:pPr>
            <w:r>
              <w:rPr>
                <w:sz w:val="24"/>
              </w:rPr>
              <w:t>决策事项是否存在导致区域性或系统性金融风险的隐患。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872" w:type="dxa"/>
            <w:vAlign w:val="center"/>
          </w:tcPr>
          <w:p>
            <w:pPr>
              <w:pStyle w:val="25"/>
              <w:spacing w:line="512" w:lineRule="exact"/>
              <w:ind w:left="8"/>
              <w:rPr>
                <w:rFonts w:ascii="黑体" w:hAnsi="黑体" w:eastAsia="黑体"/>
                <w:sz w:val="24"/>
              </w:rPr>
            </w:pPr>
            <w:r>
              <w:rPr>
                <w:rFonts w:hint="eastAsia" w:ascii="黑体" w:hAnsi="黑体" w:eastAsia="黑体"/>
                <w:sz w:val="28"/>
              </w:rPr>
              <w:t>五</w:t>
            </w:r>
          </w:p>
        </w:tc>
        <w:tc>
          <w:tcPr>
            <w:tcW w:w="2355" w:type="dxa"/>
            <w:vAlign w:val="center"/>
          </w:tcPr>
          <w:p>
            <w:pPr>
              <w:pStyle w:val="25"/>
              <w:spacing w:line="512" w:lineRule="exact"/>
              <w:ind w:left="195" w:right="187"/>
              <w:rPr>
                <w:rFonts w:ascii="黑体" w:hAnsi="黑体" w:eastAsia="黑体"/>
                <w:sz w:val="24"/>
              </w:rPr>
            </w:pPr>
            <w:r>
              <w:rPr>
                <w:rFonts w:hint="eastAsia" w:ascii="黑体" w:hAnsi="黑体" w:eastAsia="黑体"/>
                <w:sz w:val="28"/>
              </w:rPr>
              <w:t>舆情风险</w:t>
            </w:r>
          </w:p>
        </w:tc>
        <w:tc>
          <w:tcPr>
            <w:tcW w:w="10598" w:type="dxa"/>
            <w:vAlign w:val="center"/>
          </w:tcPr>
          <w:p>
            <w:pPr>
              <w:pStyle w:val="25"/>
              <w:spacing w:line="512" w:lineRule="exact"/>
              <w:ind w:left="106"/>
              <w:jc w:val="both"/>
              <w:rPr>
                <w:rFonts w:ascii="黑体" w:hAnsi="黑体" w:eastAsia="黑体"/>
                <w:sz w:val="24"/>
              </w:rPr>
            </w:pPr>
            <w:r>
              <w:rPr>
                <w:rFonts w:hint="eastAsia" w:ascii="黑体" w:hAnsi="黑体" w:eastAsia="黑体"/>
                <w:sz w:val="28"/>
              </w:rPr>
              <w:t>可能产生负面评价、恶意炒作舆论的情形。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872" w:type="dxa"/>
            <w:vAlign w:val="center"/>
          </w:tcPr>
          <w:p>
            <w:pPr>
              <w:pStyle w:val="25"/>
              <w:spacing w:before="191"/>
              <w:ind w:left="6"/>
              <w:rPr>
                <w:rFonts w:ascii="Microsoft JhengHei" w:eastAsia="Microsoft JhengHei"/>
                <w:b/>
                <w:sz w:val="28"/>
              </w:rPr>
            </w:pPr>
            <w:r>
              <w:rPr>
                <w:rFonts w:ascii="Times New Roman"/>
                <w:sz w:val="24"/>
              </w:rPr>
              <w:t>1</w:t>
            </w:r>
          </w:p>
        </w:tc>
        <w:tc>
          <w:tcPr>
            <w:tcW w:w="2355" w:type="dxa"/>
            <w:vAlign w:val="center"/>
          </w:tcPr>
          <w:p>
            <w:pPr>
              <w:pStyle w:val="25"/>
              <w:spacing w:before="182"/>
              <w:ind w:left="195" w:right="190"/>
              <w:rPr>
                <w:rFonts w:ascii="Microsoft JhengHei" w:eastAsia="Microsoft JhengHei"/>
                <w:b/>
                <w:sz w:val="28"/>
              </w:rPr>
            </w:pPr>
            <w:r>
              <w:rPr>
                <w:sz w:val="24"/>
              </w:rPr>
              <w:t>公众参与风险</w:t>
            </w:r>
          </w:p>
        </w:tc>
        <w:tc>
          <w:tcPr>
            <w:tcW w:w="10598" w:type="dxa"/>
            <w:vAlign w:val="center"/>
          </w:tcPr>
          <w:p>
            <w:pPr>
              <w:pStyle w:val="25"/>
              <w:spacing w:before="26" w:line="242" w:lineRule="auto"/>
              <w:ind w:left="106" w:right="103"/>
              <w:jc w:val="both"/>
              <w:rPr>
                <w:rFonts w:ascii="Microsoft JhengHei" w:eastAsia="Microsoft JhengHei"/>
                <w:b/>
                <w:sz w:val="28"/>
              </w:rPr>
            </w:pPr>
            <w:r>
              <w:rPr>
                <w:sz w:val="24"/>
              </w:rPr>
              <w:t>决策事项是否按程序进行公众参与、专家论证、征求部门意见，合理意见和建议是否落实到位，公众参与是否完备，过程中是否存在引发舆情风险的可能。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872" w:type="dxa"/>
            <w:vAlign w:val="center"/>
          </w:tcPr>
          <w:p>
            <w:pPr>
              <w:pStyle w:val="25"/>
              <w:spacing w:before="203"/>
              <w:ind w:left="6"/>
              <w:rPr>
                <w:rFonts w:ascii="Times New Roman"/>
                <w:sz w:val="24"/>
              </w:rPr>
            </w:pPr>
            <w:r>
              <w:rPr>
                <w:rFonts w:ascii="Times New Roman"/>
                <w:sz w:val="24"/>
              </w:rPr>
              <w:t>2</w:t>
            </w:r>
          </w:p>
        </w:tc>
        <w:tc>
          <w:tcPr>
            <w:tcW w:w="2355" w:type="dxa"/>
            <w:vAlign w:val="center"/>
          </w:tcPr>
          <w:p>
            <w:pPr>
              <w:pStyle w:val="25"/>
              <w:spacing w:before="194"/>
              <w:ind w:left="195" w:right="190"/>
              <w:rPr>
                <w:sz w:val="24"/>
              </w:rPr>
            </w:pPr>
            <w:r>
              <w:rPr>
                <w:sz w:val="24"/>
              </w:rPr>
              <w:t>宣传引导风险</w:t>
            </w:r>
          </w:p>
        </w:tc>
        <w:tc>
          <w:tcPr>
            <w:tcW w:w="10598" w:type="dxa"/>
            <w:vAlign w:val="center"/>
          </w:tcPr>
          <w:p>
            <w:pPr>
              <w:pStyle w:val="25"/>
              <w:spacing w:before="38" w:line="242" w:lineRule="auto"/>
              <w:ind w:left="106" w:right="103"/>
              <w:jc w:val="both"/>
              <w:rPr>
                <w:sz w:val="24"/>
              </w:rPr>
            </w:pPr>
            <w:r>
              <w:rPr>
                <w:sz w:val="24"/>
              </w:rPr>
              <w:t>决策事项是否能获得主流媒体支持，是否能协调公信力较高的官方媒体正面宣传引导，是否会被自媒体恶意炒作形成网络热点，影响城市形象。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872" w:type="dxa"/>
            <w:vAlign w:val="center"/>
          </w:tcPr>
          <w:p>
            <w:pPr>
              <w:pStyle w:val="25"/>
              <w:spacing w:before="143"/>
              <w:ind w:left="6"/>
              <w:rPr>
                <w:rFonts w:ascii="Times New Roman"/>
                <w:sz w:val="24"/>
              </w:rPr>
            </w:pPr>
            <w:r>
              <w:rPr>
                <w:rFonts w:ascii="Times New Roman"/>
                <w:sz w:val="24"/>
              </w:rPr>
              <w:t>3</w:t>
            </w:r>
          </w:p>
        </w:tc>
        <w:tc>
          <w:tcPr>
            <w:tcW w:w="2355" w:type="dxa"/>
            <w:vAlign w:val="center"/>
          </w:tcPr>
          <w:p>
            <w:pPr>
              <w:pStyle w:val="25"/>
              <w:spacing w:before="134"/>
              <w:ind w:left="195" w:right="190"/>
              <w:rPr>
                <w:sz w:val="24"/>
              </w:rPr>
            </w:pPr>
            <w:r>
              <w:rPr>
                <w:sz w:val="24"/>
              </w:rPr>
              <w:t>舆情应对风险</w:t>
            </w:r>
          </w:p>
        </w:tc>
        <w:tc>
          <w:tcPr>
            <w:tcW w:w="10598" w:type="dxa"/>
            <w:vAlign w:val="center"/>
          </w:tcPr>
          <w:p>
            <w:pPr>
              <w:pStyle w:val="25"/>
              <w:spacing w:before="134"/>
              <w:ind w:left="106" w:right="-29"/>
              <w:jc w:val="both"/>
              <w:rPr>
                <w:sz w:val="24"/>
              </w:rPr>
            </w:pPr>
            <w:r>
              <w:rPr>
                <w:spacing w:val="-4"/>
                <w:sz w:val="24"/>
              </w:rPr>
              <w:t>责任部门是否具备跟踪监测舆情发展、积极应对负面舆论、妥善处置舆情危机等制度、能力和经验。</w:t>
            </w:r>
          </w:p>
        </w:tc>
      </w:tr>
    </w:tbl>
    <w:p>
      <w:pPr>
        <w:pStyle w:val="24"/>
        <w:tabs>
          <w:tab w:val="left" w:pos="689"/>
        </w:tabs>
        <w:spacing w:before="65"/>
        <w:ind w:left="0" w:firstLine="0"/>
        <w:rPr>
          <w:rFonts w:ascii="仿宋_GB2312" w:hAnsi="仿宋_GB2312" w:eastAsia="仿宋_GB2312" w:cs="仿宋_GB2312"/>
          <w:color w:val="222222"/>
          <w:sz w:val="32"/>
          <w:szCs w:val="32"/>
          <w:shd w:val="clear" w:color="auto" w:fill="FFFFFF"/>
          <w:lang w:val="en-US" w:bidi="ar-SA"/>
        </w:rPr>
        <w:sectPr>
          <w:pgSz w:w="16838" w:h="11906" w:orient="landscape"/>
          <w:pgMar w:top="1800" w:right="1440" w:bottom="1800" w:left="1440" w:header="851" w:footer="992" w:gutter="0"/>
          <w:cols w:space="425" w:num="1"/>
          <w:docGrid w:type="lines" w:linePitch="312" w:charSpace="0"/>
        </w:sectPr>
      </w:pPr>
    </w:p>
    <w:p>
      <w:pPr>
        <w:pStyle w:val="24"/>
        <w:tabs>
          <w:tab w:val="left" w:pos="689"/>
        </w:tabs>
        <w:autoSpaceDE w:val="0"/>
        <w:autoSpaceDN w:val="0"/>
        <w:spacing w:before="65" w:line="560" w:lineRule="exact"/>
        <w:ind w:left="-431" w:firstLine="640" w:firstLineChars="200"/>
        <w:outlineLvl w:val="1"/>
        <w:rPr>
          <w:rFonts w:ascii="黑体" w:hAnsi="黑体" w:eastAsia="黑体" w:cs="黑体"/>
          <w:sz w:val="32"/>
          <w:szCs w:val="32"/>
          <w:lang w:val="en-US" w:bidi="ar-SA"/>
        </w:rPr>
      </w:pPr>
      <w:bookmarkStart w:id="31" w:name="_Toc5076"/>
      <w:r>
        <w:rPr>
          <w:rFonts w:hint="eastAsia" w:ascii="黑体" w:hAnsi="黑体" w:eastAsia="黑体" w:cs="黑体"/>
          <w:sz w:val="32"/>
          <w:szCs w:val="32"/>
          <w:lang w:val="en-US" w:bidi="ar-SA"/>
        </w:rPr>
        <w:t>二、风险因素识别结果</w:t>
      </w:r>
      <w:bookmarkEnd w:id="31"/>
    </w:p>
    <w:p>
      <w:pPr>
        <w:pStyle w:val="24"/>
        <w:tabs>
          <w:tab w:val="left" w:pos="689"/>
        </w:tabs>
        <w:autoSpaceDE w:val="0"/>
        <w:autoSpaceDN w:val="0"/>
        <w:spacing w:before="65" w:line="560" w:lineRule="exact"/>
        <w:ind w:left="-431" w:firstLine="640" w:firstLineChars="200"/>
        <w:rPr>
          <w:rFonts w:ascii="Microsoft JhengHei" w:eastAsia="Microsoft JhengHei"/>
          <w:b/>
          <w:sz w:val="28"/>
        </w:rPr>
      </w:pPr>
      <w:r>
        <w:rPr>
          <w:rFonts w:hint="eastAsia" w:ascii="仿宋_GB2312" w:hAnsi="仿宋_GB2312" w:eastAsia="仿宋_GB2312" w:cs="仿宋_GB2312"/>
          <w:color w:val="222222"/>
          <w:sz w:val="32"/>
          <w:szCs w:val="32"/>
          <w:shd w:val="clear" w:color="auto" w:fill="FFFFFF"/>
          <w:lang w:val="en-US" w:bidi="ar-SA"/>
        </w:rPr>
        <w:t>为了能够更清晰的分析风险主要矛盾，更准确的估计该项目主要风险因素程度，风险评估组对《实施</w:t>
      </w:r>
      <w:r>
        <w:rPr>
          <w:rFonts w:hint="eastAsia" w:ascii="仿宋_GB2312" w:hAnsi="仿宋_GB2312" w:eastAsia="仿宋_GB2312" w:cs="仿宋_GB2312"/>
          <w:color w:val="222222"/>
          <w:sz w:val="32"/>
          <w:szCs w:val="32"/>
          <w:shd w:val="clear" w:color="auto" w:fill="FFFFFF"/>
          <w:lang w:val="en-US" w:eastAsia="zh-CN" w:bidi="ar-SA"/>
        </w:rPr>
        <w:t>意见</w:t>
      </w:r>
      <w:r>
        <w:rPr>
          <w:rFonts w:hint="eastAsia" w:ascii="仿宋_GB2312" w:hAnsi="仿宋_GB2312" w:eastAsia="仿宋_GB2312" w:cs="仿宋_GB2312"/>
          <w:color w:val="222222"/>
          <w:sz w:val="32"/>
          <w:szCs w:val="32"/>
          <w:shd w:val="clear" w:color="auto" w:fill="FFFFFF"/>
          <w:lang w:val="en-US" w:bidi="ar-SA"/>
        </w:rPr>
        <w:t>》的风险因素进行了整合、提炼。最终确定《实施</w:t>
      </w:r>
      <w:r>
        <w:rPr>
          <w:rFonts w:hint="eastAsia" w:ascii="仿宋_GB2312" w:hAnsi="仿宋_GB2312" w:eastAsia="仿宋_GB2312" w:cs="仿宋_GB2312"/>
          <w:color w:val="222222"/>
          <w:sz w:val="32"/>
          <w:szCs w:val="32"/>
          <w:shd w:val="clear" w:color="auto" w:fill="FFFFFF"/>
          <w:lang w:val="en-US" w:eastAsia="zh-CN" w:bidi="ar-SA"/>
        </w:rPr>
        <w:t>意见</w:t>
      </w:r>
      <w:r>
        <w:rPr>
          <w:rFonts w:hint="eastAsia" w:ascii="仿宋_GB2312" w:hAnsi="仿宋_GB2312" w:eastAsia="仿宋_GB2312" w:cs="仿宋_GB2312"/>
          <w:color w:val="222222"/>
          <w:sz w:val="32"/>
          <w:szCs w:val="32"/>
          <w:shd w:val="clear" w:color="auto" w:fill="FFFFFF"/>
          <w:lang w:val="en-US" w:bidi="ar-SA"/>
        </w:rPr>
        <w:t>》主要存在以下五大方面10项主要风险因素，详见表4-2。</w:t>
      </w:r>
    </w:p>
    <w:p>
      <w:pPr>
        <w:pStyle w:val="24"/>
        <w:tabs>
          <w:tab w:val="left" w:pos="689"/>
        </w:tabs>
        <w:spacing w:before="65"/>
        <w:ind w:left="0" w:firstLine="0"/>
        <w:jc w:val="center"/>
        <w:rPr>
          <w:rFonts w:ascii="黑体" w:hAnsi="黑体" w:eastAsia="黑体" w:cs="仿宋_GB2312"/>
          <w:color w:val="222222"/>
          <w:sz w:val="32"/>
          <w:szCs w:val="32"/>
          <w:shd w:val="clear" w:color="auto" w:fill="FFFFFF"/>
          <w:lang w:val="en-US" w:bidi="ar-SA"/>
        </w:rPr>
      </w:pPr>
      <w:r>
        <w:rPr>
          <w:rFonts w:hint="eastAsia" w:ascii="黑体" w:hAnsi="黑体" w:eastAsia="黑体"/>
          <w:sz w:val="28"/>
        </w:rPr>
        <w:t>表</w:t>
      </w:r>
      <w:r>
        <w:rPr>
          <w:rFonts w:hint="eastAsia" w:ascii="黑体" w:hAnsi="黑体" w:eastAsia="黑体"/>
          <w:spacing w:val="1"/>
          <w:sz w:val="28"/>
        </w:rPr>
        <w:t xml:space="preserve"> </w:t>
      </w:r>
      <w:r>
        <w:rPr>
          <w:rFonts w:ascii="黑体" w:hAnsi="黑体" w:eastAsia="黑体"/>
          <w:sz w:val="28"/>
        </w:rPr>
        <w:t>4-2</w:t>
      </w:r>
      <w:r>
        <w:rPr>
          <w:rFonts w:ascii="黑体" w:hAnsi="黑体" w:eastAsia="黑体"/>
          <w:sz w:val="28"/>
        </w:rPr>
        <w:tab/>
      </w:r>
      <w:r>
        <w:rPr>
          <w:rFonts w:hint="eastAsia" w:ascii="黑体" w:hAnsi="黑体" w:eastAsia="黑体"/>
          <w:sz w:val="28"/>
        </w:rPr>
        <w:t>主要社会稳定风险因素识别结果表</w:t>
      </w:r>
    </w:p>
    <w:tbl>
      <w:tblPr>
        <w:tblStyle w:val="13"/>
        <w:tblpPr w:leftFromText="180" w:rightFromText="180" w:vertAnchor="text" w:horzAnchor="page" w:tblpX="1483" w:tblpY="57"/>
        <w:tblOverlap w:val="never"/>
        <w:tblW w:w="86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3"/>
        <w:gridCol w:w="72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453" w:type="dxa"/>
          </w:tcPr>
          <w:p>
            <w:pPr>
              <w:pStyle w:val="25"/>
              <w:spacing w:line="482" w:lineRule="exact"/>
              <w:ind w:left="103" w:right="96"/>
              <w:rPr>
                <w:rFonts w:ascii="黑体" w:hAnsi="黑体" w:eastAsia="黑体"/>
                <w:sz w:val="28"/>
              </w:rPr>
            </w:pPr>
            <w:r>
              <w:rPr>
                <w:rFonts w:hint="eastAsia" w:ascii="黑体" w:hAnsi="黑体" w:eastAsia="黑体"/>
                <w:sz w:val="28"/>
              </w:rPr>
              <w:t>序号</w:t>
            </w:r>
          </w:p>
        </w:tc>
        <w:tc>
          <w:tcPr>
            <w:tcW w:w="7243" w:type="dxa"/>
          </w:tcPr>
          <w:p>
            <w:pPr>
              <w:pStyle w:val="25"/>
              <w:spacing w:line="482" w:lineRule="exact"/>
              <w:ind w:left="1041" w:right="1040"/>
              <w:rPr>
                <w:rFonts w:ascii="黑体" w:hAnsi="黑体" w:eastAsia="黑体"/>
                <w:sz w:val="28"/>
              </w:rPr>
            </w:pPr>
            <w:r>
              <w:rPr>
                <w:rFonts w:hint="eastAsia" w:ascii="黑体" w:hAnsi="黑体" w:eastAsia="黑体"/>
                <w:sz w:val="28"/>
              </w:rPr>
              <w:t>风险因素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453" w:type="dxa"/>
          </w:tcPr>
          <w:p>
            <w:pPr>
              <w:pStyle w:val="25"/>
              <w:spacing w:line="479" w:lineRule="exact"/>
              <w:ind w:right="1040" w:firstLine="560" w:firstLineChars="200"/>
              <w:jc w:val="both"/>
              <w:rPr>
                <w:rFonts w:ascii="黑体" w:hAnsi="黑体" w:eastAsia="黑体"/>
                <w:sz w:val="28"/>
                <w:lang w:val="en-US"/>
              </w:rPr>
            </w:pPr>
            <w:r>
              <w:rPr>
                <w:rFonts w:hint="eastAsia" w:ascii="黑体" w:hAnsi="黑体" w:eastAsia="黑体"/>
                <w:sz w:val="28"/>
                <w:lang w:val="en-US"/>
              </w:rPr>
              <w:t>一</w:t>
            </w:r>
          </w:p>
        </w:tc>
        <w:tc>
          <w:tcPr>
            <w:tcW w:w="7243" w:type="dxa"/>
          </w:tcPr>
          <w:p>
            <w:pPr>
              <w:pStyle w:val="25"/>
              <w:spacing w:line="479" w:lineRule="exact"/>
              <w:ind w:left="1041" w:right="1040"/>
              <w:rPr>
                <w:rFonts w:ascii="黑体" w:hAnsi="黑体" w:eastAsia="黑体"/>
                <w:sz w:val="28"/>
                <w:lang w:val="en-US"/>
              </w:rPr>
            </w:pPr>
            <w:r>
              <w:rPr>
                <w:rFonts w:hint="eastAsia" w:ascii="黑体" w:hAnsi="黑体" w:eastAsia="黑体"/>
                <w:sz w:val="28"/>
                <w:lang w:val="en-US"/>
              </w:rPr>
              <w:t>社会稳定风险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before="81"/>
              <w:ind w:left="8"/>
              <w:rPr>
                <w:rFonts w:ascii="Times New Roman"/>
                <w:sz w:val="28"/>
                <w:lang w:val="en-US"/>
              </w:rPr>
            </w:pPr>
            <w:r>
              <w:rPr>
                <w:rFonts w:hint="eastAsia" w:ascii="Times New Roman"/>
                <w:sz w:val="28"/>
                <w:lang w:val="en-US"/>
              </w:rPr>
              <w:t>1</w:t>
            </w:r>
          </w:p>
        </w:tc>
        <w:tc>
          <w:tcPr>
            <w:tcW w:w="7243" w:type="dxa"/>
          </w:tcPr>
          <w:p>
            <w:pPr>
              <w:pStyle w:val="25"/>
              <w:spacing w:before="68"/>
              <w:ind w:left="1043" w:right="1039"/>
              <w:rPr>
                <w:sz w:val="28"/>
                <w:lang w:val="en-US"/>
              </w:rPr>
            </w:pPr>
            <w:r>
              <w:rPr>
                <w:rFonts w:hint="eastAsia"/>
                <w:sz w:val="28"/>
                <w:lang w:val="en-US"/>
              </w:rPr>
              <w:t>复杂社会矛盾风险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before="81"/>
              <w:ind w:left="8"/>
              <w:rPr>
                <w:rFonts w:ascii="Times New Roman"/>
                <w:sz w:val="28"/>
              </w:rPr>
            </w:pPr>
            <w:r>
              <w:rPr>
                <w:rFonts w:ascii="Times New Roman"/>
                <w:sz w:val="28"/>
              </w:rPr>
              <w:t>2</w:t>
            </w:r>
          </w:p>
        </w:tc>
        <w:tc>
          <w:tcPr>
            <w:tcW w:w="7243" w:type="dxa"/>
          </w:tcPr>
          <w:p>
            <w:pPr>
              <w:pStyle w:val="25"/>
              <w:spacing w:before="68"/>
              <w:ind w:left="1043" w:right="1039"/>
              <w:rPr>
                <w:sz w:val="28"/>
              </w:rPr>
            </w:pPr>
            <w:r>
              <w:rPr>
                <w:sz w:val="28"/>
              </w:rPr>
              <w:t>群体性事件风险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before="81"/>
              <w:ind w:left="8"/>
              <w:rPr>
                <w:rFonts w:ascii="Times New Roman"/>
                <w:sz w:val="28"/>
              </w:rPr>
            </w:pPr>
            <w:r>
              <w:rPr>
                <w:rFonts w:ascii="Times New Roman"/>
                <w:sz w:val="28"/>
              </w:rPr>
              <w:t>3</w:t>
            </w:r>
          </w:p>
        </w:tc>
        <w:tc>
          <w:tcPr>
            <w:tcW w:w="7243" w:type="dxa"/>
          </w:tcPr>
          <w:p>
            <w:pPr>
              <w:pStyle w:val="25"/>
              <w:spacing w:before="68"/>
              <w:ind w:left="1043" w:right="1040"/>
              <w:rPr>
                <w:sz w:val="28"/>
              </w:rPr>
            </w:pPr>
            <w:r>
              <w:rPr>
                <w:sz w:val="28"/>
              </w:rPr>
              <w:t>过激敏感事件风险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line="479" w:lineRule="exact"/>
              <w:ind w:left="9"/>
              <w:rPr>
                <w:rFonts w:ascii="黑体" w:hAnsi="黑体" w:eastAsia="黑体"/>
                <w:sz w:val="28"/>
              </w:rPr>
            </w:pPr>
            <w:r>
              <w:rPr>
                <w:rFonts w:hint="eastAsia" w:ascii="黑体" w:hAnsi="黑体" w:eastAsia="黑体"/>
                <w:sz w:val="28"/>
              </w:rPr>
              <w:t>二</w:t>
            </w:r>
          </w:p>
        </w:tc>
        <w:tc>
          <w:tcPr>
            <w:tcW w:w="7243" w:type="dxa"/>
          </w:tcPr>
          <w:p>
            <w:pPr>
              <w:pStyle w:val="25"/>
              <w:spacing w:line="479" w:lineRule="exact"/>
              <w:ind w:left="1041" w:right="1040"/>
              <w:rPr>
                <w:rFonts w:ascii="黑体" w:hAnsi="黑体" w:eastAsia="黑体"/>
                <w:sz w:val="28"/>
              </w:rPr>
            </w:pPr>
            <w:r>
              <w:rPr>
                <w:rFonts w:hint="eastAsia" w:ascii="黑体" w:hAnsi="黑体" w:eastAsia="黑体"/>
                <w:sz w:val="28"/>
              </w:rPr>
              <w:t>生态环境风险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453" w:type="dxa"/>
          </w:tcPr>
          <w:p>
            <w:pPr>
              <w:pStyle w:val="25"/>
              <w:spacing w:before="82"/>
              <w:ind w:left="8"/>
              <w:rPr>
                <w:rFonts w:ascii="Times New Roman"/>
                <w:sz w:val="28"/>
              </w:rPr>
            </w:pPr>
            <w:r>
              <w:rPr>
                <w:rFonts w:hint="eastAsia" w:ascii="Times New Roman"/>
                <w:sz w:val="28"/>
                <w:lang w:val="en-US"/>
              </w:rPr>
              <w:t>1</w:t>
            </w:r>
          </w:p>
        </w:tc>
        <w:tc>
          <w:tcPr>
            <w:tcW w:w="7243" w:type="dxa"/>
          </w:tcPr>
          <w:p>
            <w:pPr>
              <w:pStyle w:val="25"/>
              <w:spacing w:before="70"/>
              <w:ind w:left="1043" w:right="1040"/>
              <w:rPr>
                <w:sz w:val="28"/>
              </w:rPr>
            </w:pPr>
            <w:r>
              <w:rPr>
                <w:sz w:val="28"/>
              </w:rPr>
              <w:t>人居环境质量风险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53" w:type="dxa"/>
          </w:tcPr>
          <w:p>
            <w:pPr>
              <w:pStyle w:val="25"/>
              <w:spacing w:line="479" w:lineRule="exact"/>
              <w:ind w:left="9"/>
              <w:rPr>
                <w:rFonts w:ascii="黑体" w:hAnsi="黑体" w:eastAsia="黑体"/>
                <w:sz w:val="28"/>
              </w:rPr>
            </w:pPr>
            <w:r>
              <w:rPr>
                <w:rFonts w:hint="eastAsia" w:ascii="黑体" w:hAnsi="黑体" w:eastAsia="黑体"/>
                <w:sz w:val="28"/>
              </w:rPr>
              <w:t>三</w:t>
            </w:r>
          </w:p>
        </w:tc>
        <w:tc>
          <w:tcPr>
            <w:tcW w:w="7243" w:type="dxa"/>
          </w:tcPr>
          <w:p>
            <w:pPr>
              <w:pStyle w:val="25"/>
              <w:spacing w:line="479" w:lineRule="exact"/>
              <w:ind w:left="1041" w:right="1040"/>
              <w:rPr>
                <w:rFonts w:ascii="黑体" w:hAnsi="黑体" w:eastAsia="黑体"/>
                <w:sz w:val="28"/>
              </w:rPr>
            </w:pPr>
            <w:r>
              <w:rPr>
                <w:rFonts w:hint="eastAsia" w:ascii="黑体" w:hAnsi="黑体" w:eastAsia="黑体"/>
                <w:sz w:val="28"/>
                <w:lang w:val="en-US"/>
              </w:rPr>
              <w:t>公共</w:t>
            </w:r>
            <w:r>
              <w:rPr>
                <w:rFonts w:hint="eastAsia" w:ascii="黑体" w:hAnsi="黑体" w:eastAsia="黑体"/>
                <w:sz w:val="28"/>
              </w:rPr>
              <w:t>安全风险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before="81"/>
              <w:ind w:left="8"/>
              <w:rPr>
                <w:rFonts w:ascii="Times New Roman"/>
                <w:sz w:val="28"/>
              </w:rPr>
            </w:pPr>
            <w:r>
              <w:rPr>
                <w:rFonts w:ascii="Times New Roman"/>
                <w:sz w:val="28"/>
              </w:rPr>
              <w:t>1</w:t>
            </w:r>
          </w:p>
        </w:tc>
        <w:tc>
          <w:tcPr>
            <w:tcW w:w="7243" w:type="dxa"/>
          </w:tcPr>
          <w:p>
            <w:pPr>
              <w:pStyle w:val="25"/>
              <w:spacing w:before="70"/>
              <w:ind w:left="1043" w:right="1040"/>
              <w:rPr>
                <w:sz w:val="28"/>
              </w:rPr>
            </w:pPr>
            <w:r>
              <w:rPr>
                <w:sz w:val="28"/>
              </w:rPr>
              <w:t>日常</w:t>
            </w:r>
            <w:r>
              <w:rPr>
                <w:rFonts w:hint="eastAsia"/>
                <w:sz w:val="28"/>
                <w:lang w:val="en-US"/>
              </w:rPr>
              <w:t>公共</w:t>
            </w:r>
            <w:r>
              <w:rPr>
                <w:sz w:val="28"/>
              </w:rPr>
              <w:t>安全风险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line="479" w:lineRule="exact"/>
              <w:ind w:left="9"/>
              <w:rPr>
                <w:rFonts w:ascii="黑体" w:hAnsi="黑体" w:eastAsia="黑体"/>
                <w:sz w:val="28"/>
              </w:rPr>
            </w:pPr>
            <w:r>
              <w:rPr>
                <w:rFonts w:hint="eastAsia" w:ascii="黑体" w:hAnsi="黑体" w:eastAsia="黑体"/>
                <w:sz w:val="28"/>
              </w:rPr>
              <w:t>四</w:t>
            </w:r>
          </w:p>
        </w:tc>
        <w:tc>
          <w:tcPr>
            <w:tcW w:w="7243" w:type="dxa"/>
          </w:tcPr>
          <w:p>
            <w:pPr>
              <w:pStyle w:val="25"/>
              <w:spacing w:line="479" w:lineRule="exact"/>
              <w:ind w:left="1041" w:right="1040"/>
              <w:rPr>
                <w:rFonts w:ascii="黑体" w:hAnsi="黑体" w:eastAsia="黑体"/>
                <w:sz w:val="28"/>
              </w:rPr>
            </w:pPr>
            <w:r>
              <w:rPr>
                <w:rFonts w:hint="eastAsia" w:ascii="黑体" w:hAnsi="黑体" w:eastAsia="黑体"/>
                <w:sz w:val="28"/>
              </w:rPr>
              <w:t>财政金融风险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453" w:type="dxa"/>
          </w:tcPr>
          <w:p>
            <w:pPr>
              <w:pStyle w:val="25"/>
              <w:spacing w:before="84"/>
              <w:ind w:left="8"/>
              <w:rPr>
                <w:rFonts w:ascii="Times New Roman"/>
                <w:sz w:val="28"/>
              </w:rPr>
            </w:pPr>
            <w:r>
              <w:rPr>
                <w:rFonts w:ascii="Times New Roman"/>
                <w:sz w:val="28"/>
              </w:rPr>
              <w:t>1</w:t>
            </w:r>
          </w:p>
        </w:tc>
        <w:tc>
          <w:tcPr>
            <w:tcW w:w="7243" w:type="dxa"/>
          </w:tcPr>
          <w:p>
            <w:pPr>
              <w:pStyle w:val="25"/>
              <w:spacing w:before="70"/>
              <w:ind w:left="1043" w:right="1040"/>
              <w:rPr>
                <w:sz w:val="28"/>
              </w:rPr>
            </w:pPr>
            <w:r>
              <w:rPr>
                <w:sz w:val="28"/>
              </w:rPr>
              <w:t>财政承受能力风险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before="81"/>
              <w:ind w:left="8"/>
              <w:rPr>
                <w:rFonts w:ascii="Times New Roman"/>
                <w:sz w:val="28"/>
              </w:rPr>
            </w:pPr>
            <w:r>
              <w:rPr>
                <w:rFonts w:ascii="Times New Roman"/>
                <w:sz w:val="28"/>
              </w:rPr>
              <w:t>2</w:t>
            </w:r>
          </w:p>
        </w:tc>
        <w:tc>
          <w:tcPr>
            <w:tcW w:w="7243" w:type="dxa"/>
          </w:tcPr>
          <w:p>
            <w:pPr>
              <w:pStyle w:val="25"/>
              <w:spacing w:before="68"/>
              <w:ind w:left="1043" w:right="1040"/>
              <w:rPr>
                <w:sz w:val="28"/>
              </w:rPr>
            </w:pPr>
            <w:r>
              <w:rPr>
                <w:sz w:val="28"/>
              </w:rPr>
              <w:t>财政投资效益风险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line="479" w:lineRule="exact"/>
              <w:ind w:left="9"/>
              <w:rPr>
                <w:rFonts w:ascii="黑体" w:hAnsi="黑体" w:eastAsia="黑体"/>
                <w:sz w:val="28"/>
              </w:rPr>
            </w:pPr>
            <w:r>
              <w:rPr>
                <w:rFonts w:hint="eastAsia" w:ascii="黑体" w:hAnsi="黑体" w:eastAsia="黑体"/>
                <w:sz w:val="28"/>
              </w:rPr>
              <w:t>五</w:t>
            </w:r>
          </w:p>
        </w:tc>
        <w:tc>
          <w:tcPr>
            <w:tcW w:w="7243" w:type="dxa"/>
          </w:tcPr>
          <w:p>
            <w:pPr>
              <w:pStyle w:val="25"/>
              <w:spacing w:line="479" w:lineRule="exact"/>
              <w:ind w:left="1041" w:right="1040"/>
              <w:rPr>
                <w:rFonts w:ascii="黑体" w:hAnsi="黑体" w:eastAsia="黑体"/>
                <w:sz w:val="28"/>
              </w:rPr>
            </w:pPr>
            <w:r>
              <w:rPr>
                <w:rFonts w:hint="eastAsia" w:ascii="黑体" w:hAnsi="黑体" w:eastAsia="黑体"/>
                <w:sz w:val="28"/>
              </w:rPr>
              <w:t>舆情风险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before="81"/>
              <w:ind w:left="8"/>
              <w:rPr>
                <w:rFonts w:ascii="Times New Roman"/>
                <w:sz w:val="28"/>
                <w:lang w:val="en-US"/>
              </w:rPr>
            </w:pPr>
            <w:r>
              <w:rPr>
                <w:rFonts w:hint="eastAsia" w:ascii="Times New Roman"/>
                <w:sz w:val="28"/>
                <w:lang w:val="en-US"/>
              </w:rPr>
              <w:t>1</w:t>
            </w:r>
          </w:p>
        </w:tc>
        <w:tc>
          <w:tcPr>
            <w:tcW w:w="7243" w:type="dxa"/>
          </w:tcPr>
          <w:p>
            <w:pPr>
              <w:pStyle w:val="25"/>
              <w:spacing w:before="67"/>
              <w:ind w:left="1043" w:right="1037"/>
              <w:rPr>
                <w:sz w:val="28"/>
                <w:lang w:val="en-US"/>
              </w:rPr>
            </w:pPr>
            <w:r>
              <w:rPr>
                <w:rFonts w:hint="eastAsia"/>
                <w:sz w:val="28"/>
                <w:lang w:val="en-US"/>
              </w:rPr>
              <w:t>公众参与风险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before="81"/>
              <w:ind w:left="8"/>
              <w:rPr>
                <w:rFonts w:ascii="Times New Roman"/>
                <w:sz w:val="28"/>
              </w:rPr>
            </w:pPr>
            <w:r>
              <w:rPr>
                <w:rFonts w:hint="eastAsia" w:ascii="Times New Roman"/>
                <w:sz w:val="28"/>
                <w:lang w:val="en-US"/>
              </w:rPr>
              <w:t>2</w:t>
            </w:r>
          </w:p>
        </w:tc>
        <w:tc>
          <w:tcPr>
            <w:tcW w:w="7243" w:type="dxa"/>
          </w:tcPr>
          <w:p>
            <w:pPr>
              <w:pStyle w:val="25"/>
              <w:spacing w:before="67"/>
              <w:ind w:left="1043" w:right="1037"/>
              <w:rPr>
                <w:sz w:val="28"/>
              </w:rPr>
            </w:pPr>
            <w:r>
              <w:rPr>
                <w:sz w:val="28"/>
              </w:rPr>
              <w:t>宣传引导风险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453" w:type="dxa"/>
          </w:tcPr>
          <w:p>
            <w:pPr>
              <w:pStyle w:val="25"/>
              <w:spacing w:before="81"/>
              <w:ind w:left="8"/>
              <w:rPr>
                <w:rFonts w:ascii="Times New Roman"/>
                <w:sz w:val="28"/>
              </w:rPr>
            </w:pPr>
            <w:r>
              <w:rPr>
                <w:rFonts w:hint="eastAsia" w:ascii="Times New Roman"/>
                <w:sz w:val="28"/>
                <w:lang w:val="en-US"/>
              </w:rPr>
              <w:t>3</w:t>
            </w:r>
          </w:p>
        </w:tc>
        <w:tc>
          <w:tcPr>
            <w:tcW w:w="7243" w:type="dxa"/>
          </w:tcPr>
          <w:p>
            <w:pPr>
              <w:pStyle w:val="25"/>
              <w:spacing w:before="67"/>
              <w:ind w:left="1043" w:right="1037"/>
              <w:rPr>
                <w:sz w:val="28"/>
              </w:rPr>
            </w:pPr>
            <w:r>
              <w:rPr>
                <w:sz w:val="28"/>
              </w:rPr>
              <w:t>舆情应对风险</w:t>
            </w:r>
          </w:p>
        </w:tc>
      </w:tr>
    </w:tbl>
    <w:p>
      <w:pPr>
        <w:spacing w:line="800" w:lineRule="exact"/>
        <w:jc w:val="center"/>
        <w:outlineLvl w:val="0"/>
        <w:rPr>
          <w:rFonts w:ascii="方正小标宋_GBK" w:hAnsi="方正小标宋_GBK" w:eastAsia="方正小标宋_GBK" w:cs="方正小标宋_GBK"/>
          <w:sz w:val="44"/>
          <w:szCs w:val="44"/>
          <w:lang w:bidi="ar"/>
        </w:rPr>
      </w:pPr>
      <w:bookmarkStart w:id="32" w:name="_Toc18780"/>
      <w:r>
        <w:rPr>
          <w:rFonts w:hint="eastAsia" w:ascii="方正小标宋_GBK" w:hAnsi="方正小标宋_GBK" w:eastAsia="方正小标宋_GBK" w:cs="方正小标宋_GBK"/>
          <w:sz w:val="44"/>
          <w:szCs w:val="44"/>
          <w:lang w:bidi="ar"/>
        </w:rPr>
        <w:t>第五章 风险程度估计及风险等级判断</w:t>
      </w:r>
      <w:bookmarkEnd w:id="32"/>
    </w:p>
    <w:p>
      <w:pPr>
        <w:spacing w:line="800" w:lineRule="exact"/>
        <w:ind w:firstLine="640" w:firstLineChars="200"/>
        <w:outlineLvl w:val="1"/>
        <w:rPr>
          <w:rFonts w:ascii="黑体" w:hAnsi="黑体" w:eastAsia="黑体" w:cs="黑体"/>
          <w:sz w:val="32"/>
          <w:szCs w:val="32"/>
        </w:rPr>
      </w:pPr>
      <w:bookmarkStart w:id="33" w:name="_Toc5131"/>
      <w:r>
        <w:rPr>
          <w:rFonts w:hint="eastAsia" w:ascii="黑体" w:hAnsi="黑体" w:eastAsia="黑体" w:cs="黑体"/>
          <w:sz w:val="32"/>
          <w:szCs w:val="32"/>
        </w:rPr>
        <w:t>一、风险估计评判标准</w:t>
      </w:r>
      <w:bookmarkEnd w:id="33"/>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风险评估小组分别对各个因素风险的风险程度进行估计，根据评判标准定性估计单因素风险等级（高、中、低），单因素风险等级定性评判标准及赋值如表5-1所示。</w:t>
      </w:r>
    </w:p>
    <w:p>
      <w:pPr>
        <w:spacing w:line="560" w:lineRule="exact"/>
        <w:jc w:val="center"/>
        <w:rPr>
          <w:rFonts w:ascii="黑体" w:hAnsi="黑体" w:eastAsia="黑体" w:cs="仿宋_GB2312"/>
          <w:sz w:val="32"/>
          <w:szCs w:val="32"/>
          <w:lang w:bidi="ar"/>
        </w:rPr>
      </w:pPr>
      <w:r>
        <w:rPr>
          <w:rFonts w:hint="eastAsia" w:ascii="黑体" w:hAnsi="黑体" w:eastAsia="黑体"/>
          <w:sz w:val="28"/>
        </w:rPr>
        <w:t xml:space="preserve">表 </w:t>
      </w:r>
      <w:r>
        <w:rPr>
          <w:rFonts w:ascii="黑体" w:hAnsi="黑体" w:eastAsia="黑体"/>
          <w:sz w:val="28"/>
        </w:rPr>
        <w:t xml:space="preserve">5-1  </w:t>
      </w:r>
      <w:r>
        <w:rPr>
          <w:rFonts w:hint="eastAsia" w:ascii="黑体" w:hAnsi="黑体" w:eastAsia="黑体"/>
          <w:sz w:val="28"/>
        </w:rPr>
        <w:t>单因素风险等级定性评判标准及赋值表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4528"/>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494" w:type="dxa"/>
            <w:vAlign w:val="center"/>
          </w:tcPr>
          <w:p>
            <w:pPr>
              <w:spacing w:line="560" w:lineRule="exact"/>
              <w:jc w:val="center"/>
              <w:rPr>
                <w:rFonts w:ascii="黑体" w:hAnsi="黑体" w:eastAsia="黑体" w:cs="仿宋_GB2312"/>
                <w:bCs/>
                <w:sz w:val="32"/>
                <w:szCs w:val="32"/>
                <w:lang w:bidi="ar"/>
              </w:rPr>
            </w:pPr>
            <w:r>
              <w:rPr>
                <w:rFonts w:hint="eastAsia" w:ascii="黑体" w:hAnsi="黑体" w:eastAsia="黑体" w:cs="仿宋_GB2312"/>
                <w:bCs/>
                <w:sz w:val="32"/>
                <w:szCs w:val="32"/>
                <w:lang w:bidi="ar"/>
              </w:rPr>
              <w:t>单因素风险等级</w:t>
            </w:r>
          </w:p>
        </w:tc>
        <w:tc>
          <w:tcPr>
            <w:tcW w:w="4528" w:type="dxa"/>
            <w:vAlign w:val="center"/>
          </w:tcPr>
          <w:p>
            <w:pPr>
              <w:spacing w:line="560" w:lineRule="exact"/>
              <w:jc w:val="center"/>
              <w:rPr>
                <w:rFonts w:ascii="黑体" w:hAnsi="黑体" w:eastAsia="黑体" w:cs="仿宋_GB2312"/>
                <w:bCs/>
                <w:sz w:val="32"/>
                <w:szCs w:val="32"/>
                <w:lang w:bidi="ar"/>
              </w:rPr>
            </w:pPr>
            <w:r>
              <w:rPr>
                <w:rFonts w:hint="eastAsia" w:ascii="黑体" w:hAnsi="黑体" w:eastAsia="黑体" w:cs="仿宋_GB2312"/>
                <w:bCs/>
                <w:sz w:val="32"/>
                <w:szCs w:val="32"/>
                <w:lang w:bidi="ar"/>
              </w:rPr>
              <w:t>定性评判标准</w:t>
            </w:r>
          </w:p>
        </w:tc>
        <w:tc>
          <w:tcPr>
            <w:tcW w:w="1314" w:type="dxa"/>
            <w:vAlign w:val="center"/>
          </w:tcPr>
          <w:p>
            <w:pPr>
              <w:spacing w:line="560" w:lineRule="exact"/>
              <w:jc w:val="center"/>
              <w:rPr>
                <w:rFonts w:ascii="黑体" w:hAnsi="黑体" w:eastAsia="黑体" w:cs="仿宋_GB2312"/>
                <w:bCs/>
                <w:sz w:val="32"/>
                <w:szCs w:val="32"/>
                <w:lang w:bidi="ar"/>
              </w:rPr>
            </w:pPr>
            <w:r>
              <w:rPr>
                <w:rFonts w:hint="eastAsia" w:ascii="黑体" w:hAnsi="黑体" w:eastAsia="黑体" w:cs="仿宋_GB2312"/>
                <w:bCs/>
                <w:sz w:val="32"/>
                <w:szCs w:val="32"/>
                <w:lang w:bidi="ar"/>
              </w:rPr>
              <w:t>赋值r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center"/>
          </w:tcPr>
          <w:p>
            <w:pPr>
              <w:spacing w:line="560" w:lineRule="exact"/>
              <w:jc w:val="center"/>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高风险</w:t>
            </w:r>
          </w:p>
        </w:tc>
        <w:tc>
          <w:tcPr>
            <w:tcW w:w="4528" w:type="dxa"/>
            <w:vAlign w:val="center"/>
          </w:tcPr>
          <w:p>
            <w:pPr>
              <w:spacing w:line="500" w:lineRule="exact"/>
              <w:rPr>
                <w:rFonts w:ascii="仿宋_GB2312" w:hAnsi="仿宋_GB2312" w:eastAsia="仿宋_GB2312" w:cs="仿宋_GB2312"/>
                <w:sz w:val="32"/>
                <w:szCs w:val="32"/>
                <w:lang w:bidi="ar"/>
              </w:rPr>
            </w:pPr>
            <w:r>
              <w:rPr>
                <w:rFonts w:hint="eastAsia" w:ascii="仿宋_GB2312" w:hAnsi="仿宋_GB2312" w:eastAsia="仿宋_GB2312" w:cs="仿宋_GB2312"/>
                <w:sz w:val="28"/>
                <w:szCs w:val="28"/>
                <w:lang w:bidi="ar"/>
              </w:rPr>
              <w:t>可能性大，社会影响和损失大，影响和损失不可接受，必须采取积极有效的防范化解措施。</w:t>
            </w:r>
          </w:p>
        </w:tc>
        <w:tc>
          <w:tcPr>
            <w:tcW w:w="1314" w:type="dxa"/>
            <w:vAlign w:val="center"/>
          </w:tcPr>
          <w:p>
            <w:pPr>
              <w:spacing w:line="560" w:lineRule="exact"/>
              <w:jc w:val="center"/>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center"/>
          </w:tcPr>
          <w:p>
            <w:pPr>
              <w:spacing w:line="560" w:lineRule="exact"/>
              <w:jc w:val="center"/>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中风险</w:t>
            </w:r>
          </w:p>
        </w:tc>
        <w:tc>
          <w:tcPr>
            <w:tcW w:w="4528" w:type="dxa"/>
            <w:vAlign w:val="center"/>
          </w:tcPr>
          <w:p>
            <w:pPr>
              <w:spacing w:line="500" w:lineRule="exact"/>
              <w:rPr>
                <w:rFonts w:ascii="仿宋_GB2312" w:hAnsi="仿宋_GB2312" w:eastAsia="仿宋_GB2312" w:cs="仿宋_GB2312"/>
                <w:sz w:val="32"/>
                <w:szCs w:val="32"/>
                <w:lang w:bidi="ar"/>
              </w:rPr>
            </w:pPr>
            <w:r>
              <w:rPr>
                <w:rFonts w:hint="eastAsia" w:ascii="仿宋_GB2312" w:hAnsi="仿宋_GB2312" w:eastAsia="仿宋_GB2312" w:cs="仿宋_GB2312"/>
                <w:sz w:val="28"/>
                <w:szCs w:val="28"/>
                <w:lang w:bidi="ar"/>
              </w:rPr>
              <w:t>可能性不大，或社会影响和损失不大，一般不影响决策的可行性，应采取一定的防范化解措施。</w:t>
            </w:r>
          </w:p>
        </w:tc>
        <w:tc>
          <w:tcPr>
            <w:tcW w:w="1314" w:type="dxa"/>
            <w:vAlign w:val="center"/>
          </w:tcPr>
          <w:p>
            <w:pPr>
              <w:spacing w:line="560" w:lineRule="exact"/>
              <w:jc w:val="center"/>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center"/>
          </w:tcPr>
          <w:p>
            <w:pPr>
              <w:spacing w:line="560" w:lineRule="exact"/>
              <w:jc w:val="center"/>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低风险</w:t>
            </w:r>
          </w:p>
        </w:tc>
        <w:tc>
          <w:tcPr>
            <w:tcW w:w="4528" w:type="dxa"/>
            <w:vAlign w:val="center"/>
          </w:tcPr>
          <w:p>
            <w:pPr>
              <w:spacing w:line="500" w:lineRule="exact"/>
              <w:rPr>
                <w:rFonts w:ascii="仿宋_GB2312" w:hAnsi="仿宋_GB2312" w:eastAsia="仿宋_GB2312" w:cs="仿宋_GB2312"/>
                <w:sz w:val="32"/>
                <w:szCs w:val="32"/>
                <w:lang w:bidi="ar"/>
              </w:rPr>
            </w:pPr>
            <w:r>
              <w:rPr>
                <w:rFonts w:hint="eastAsia" w:ascii="仿宋_GB2312" w:hAnsi="仿宋_GB2312" w:eastAsia="仿宋_GB2312" w:cs="仿宋_GB2312"/>
                <w:sz w:val="28"/>
                <w:szCs w:val="28"/>
                <w:lang w:bidi="ar"/>
              </w:rPr>
              <w:t>可能性很小，且社会影响和损失很小，对决策影响很小。</w:t>
            </w:r>
          </w:p>
        </w:tc>
        <w:tc>
          <w:tcPr>
            <w:tcW w:w="1314" w:type="dxa"/>
            <w:vAlign w:val="center"/>
          </w:tcPr>
          <w:p>
            <w:pPr>
              <w:spacing w:line="560" w:lineRule="exact"/>
              <w:jc w:val="center"/>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0.5</w:t>
            </w:r>
          </w:p>
        </w:tc>
      </w:tr>
    </w:tbl>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对各风险因素估计赋值结果归一化处理，计算二级指标的风险程度平均值R=∑r/5，与表5-2中风险指数评判标准对比，确定二级指标风险等级；再计算一级指标的风险指数∑R/N，根据一级指标风险指数以及以及指标下的各项二级指标风险等级，与表5-2中风险等级评判标准对比，“就高”确定各项一级指标的风险等级；根据一级指标风险等级以及表5-2中风险程度评判标准确定决策事项的整体风险等级。</w:t>
      </w:r>
    </w:p>
    <w:p>
      <w:pPr>
        <w:spacing w:line="560" w:lineRule="exact"/>
        <w:ind w:firstLine="640" w:firstLineChars="200"/>
        <w:rPr>
          <w:rFonts w:ascii="仿宋_GB2312" w:hAnsi="仿宋_GB2312" w:eastAsia="仿宋_GB2312" w:cs="仿宋_GB2312"/>
          <w:sz w:val="32"/>
          <w:szCs w:val="32"/>
          <w:lang w:bidi="ar"/>
        </w:rPr>
      </w:pPr>
    </w:p>
    <w:p>
      <w:pPr>
        <w:spacing w:line="560" w:lineRule="exact"/>
        <w:rPr>
          <w:rFonts w:ascii="仿宋_GB2312" w:hAnsi="仿宋_GB2312" w:eastAsia="仿宋_GB2312" w:cs="仿宋_GB2312"/>
          <w:sz w:val="32"/>
          <w:szCs w:val="32"/>
          <w:lang w:bidi="ar"/>
        </w:rPr>
      </w:pPr>
    </w:p>
    <w:p>
      <w:pPr>
        <w:spacing w:line="560" w:lineRule="exact"/>
        <w:jc w:val="center"/>
        <w:rPr>
          <w:rFonts w:ascii="黑体" w:hAnsi="黑体" w:eastAsia="黑体"/>
          <w:sz w:val="28"/>
        </w:rPr>
      </w:pPr>
      <w:r>
        <w:rPr>
          <w:rFonts w:hint="eastAsia" w:ascii="黑体" w:hAnsi="黑体" w:eastAsia="黑体"/>
          <w:sz w:val="28"/>
        </w:rPr>
        <w:t>表5-2   风险等级评判参考标准</w:t>
      </w:r>
    </w:p>
    <w:tbl>
      <w:tblPr>
        <w:tblStyle w:val="14"/>
        <w:tblW w:w="9142" w:type="dxa"/>
        <w:tblInd w:w="-3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2585"/>
        <w:gridCol w:w="2564"/>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517" w:type="dxa"/>
            <w:vAlign w:val="center"/>
          </w:tcPr>
          <w:p>
            <w:pPr>
              <w:spacing w:line="560" w:lineRule="exact"/>
              <w:jc w:val="center"/>
              <w:rPr>
                <w:rFonts w:ascii="黑体" w:hAnsi="黑体" w:eastAsia="黑体" w:cs="仿宋_GB2312"/>
                <w:bCs/>
                <w:sz w:val="32"/>
                <w:szCs w:val="32"/>
                <w:lang w:bidi="ar"/>
              </w:rPr>
            </w:pPr>
            <w:r>
              <w:rPr>
                <w:rFonts w:hint="eastAsia" w:ascii="黑体" w:hAnsi="黑体" w:eastAsia="黑体" w:cs="仿宋_GB2312"/>
                <w:bCs/>
                <w:sz w:val="32"/>
                <w:szCs w:val="32"/>
                <w:lang w:bidi="ar"/>
              </w:rPr>
              <w:t>风险等级</w:t>
            </w:r>
          </w:p>
        </w:tc>
        <w:tc>
          <w:tcPr>
            <w:tcW w:w="2585" w:type="dxa"/>
            <w:vAlign w:val="center"/>
          </w:tcPr>
          <w:p>
            <w:pPr>
              <w:spacing w:line="560" w:lineRule="exact"/>
              <w:jc w:val="center"/>
              <w:rPr>
                <w:rFonts w:ascii="黑体" w:hAnsi="黑体" w:eastAsia="黑体" w:cs="仿宋_GB2312"/>
                <w:bCs/>
                <w:sz w:val="32"/>
                <w:szCs w:val="32"/>
                <w:lang w:bidi="ar"/>
              </w:rPr>
            </w:pPr>
            <w:r>
              <w:rPr>
                <w:rFonts w:hint="eastAsia" w:ascii="黑体" w:hAnsi="黑体" w:eastAsia="黑体" w:cs="仿宋_GB2312"/>
                <w:bCs/>
                <w:sz w:val="32"/>
                <w:szCs w:val="32"/>
                <w:lang w:bidi="ar"/>
              </w:rPr>
              <w:t>高风险</w:t>
            </w:r>
          </w:p>
        </w:tc>
        <w:tc>
          <w:tcPr>
            <w:tcW w:w="2564" w:type="dxa"/>
            <w:vAlign w:val="center"/>
          </w:tcPr>
          <w:p>
            <w:pPr>
              <w:spacing w:line="560" w:lineRule="exact"/>
              <w:jc w:val="center"/>
              <w:rPr>
                <w:rFonts w:ascii="黑体" w:hAnsi="黑体" w:eastAsia="黑体" w:cs="仿宋_GB2312"/>
                <w:bCs/>
                <w:sz w:val="32"/>
                <w:szCs w:val="32"/>
                <w:lang w:bidi="ar"/>
              </w:rPr>
            </w:pPr>
            <w:r>
              <w:rPr>
                <w:rFonts w:hint="eastAsia" w:ascii="黑体" w:hAnsi="黑体" w:eastAsia="黑体" w:cs="仿宋_GB2312"/>
                <w:bCs/>
                <w:sz w:val="32"/>
                <w:szCs w:val="32"/>
                <w:lang w:bidi="ar"/>
              </w:rPr>
              <w:t>中风险</w:t>
            </w:r>
          </w:p>
        </w:tc>
        <w:tc>
          <w:tcPr>
            <w:tcW w:w="2476" w:type="dxa"/>
            <w:vAlign w:val="center"/>
          </w:tcPr>
          <w:p>
            <w:pPr>
              <w:spacing w:line="560" w:lineRule="exact"/>
              <w:jc w:val="center"/>
              <w:rPr>
                <w:rFonts w:ascii="黑体" w:hAnsi="黑体" w:eastAsia="黑体" w:cs="仿宋_GB2312"/>
                <w:bCs/>
                <w:sz w:val="32"/>
                <w:szCs w:val="32"/>
                <w:lang w:bidi="ar"/>
              </w:rPr>
            </w:pPr>
            <w:r>
              <w:rPr>
                <w:rFonts w:hint="eastAsia" w:ascii="黑体" w:hAnsi="黑体" w:eastAsia="黑体" w:cs="仿宋_GB2312"/>
                <w:bCs/>
                <w:sz w:val="32"/>
                <w:szCs w:val="32"/>
                <w:lang w:bidi="ar"/>
              </w:rPr>
              <w:t>低风险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pPr>
              <w:spacing w:line="500" w:lineRule="exact"/>
              <w:jc w:val="center"/>
              <w:rPr>
                <w:rFonts w:ascii="黑体" w:hAnsi="黑体" w:eastAsia="黑体" w:cs="仿宋_GB2312"/>
                <w:bCs/>
                <w:sz w:val="32"/>
                <w:szCs w:val="32"/>
                <w:lang w:bidi="ar"/>
              </w:rPr>
            </w:pPr>
            <w:r>
              <w:rPr>
                <w:rFonts w:ascii="黑体" w:hAnsi="黑体" w:eastAsia="黑体"/>
                <w:bCs/>
                <w:sz w:val="28"/>
              </w:rPr>
              <w:t>定性评判评判标准</w:t>
            </w:r>
          </w:p>
        </w:tc>
        <w:tc>
          <w:tcPr>
            <w:tcW w:w="2585" w:type="dxa"/>
            <w:vAlign w:val="center"/>
          </w:tcPr>
          <w:p>
            <w:pPr>
              <w:spacing w:line="400" w:lineRule="exact"/>
              <w:rPr>
                <w:rFonts w:ascii="仿宋_GB2312" w:hAnsi="仿宋_GB2312" w:eastAsia="仿宋_GB2312" w:cs="仿宋_GB2312"/>
                <w:sz w:val="28"/>
                <w:szCs w:val="28"/>
                <w:lang w:bidi="ar"/>
              </w:rPr>
            </w:pPr>
            <w:r>
              <w:rPr>
                <w:rFonts w:hint="eastAsia" w:ascii="仿宋_GB2312" w:hAnsi="仿宋_GB2312" w:eastAsia="仿宋_GB2312" w:cs="仿宋_GB2312"/>
                <w:sz w:val="24"/>
                <w:lang w:bidi="ar"/>
              </w:rPr>
              <w:t>社会公众大部分有意见、反映特别强烈，可能引发大规模群体性事件，难以疏导、稳定，存在较大社会稳定、生态环境、财政或者公共安全风险隐患的</w:t>
            </w:r>
          </w:p>
        </w:tc>
        <w:tc>
          <w:tcPr>
            <w:tcW w:w="2564" w:type="dxa"/>
            <w:vAlign w:val="center"/>
          </w:tcPr>
          <w:p>
            <w:pPr>
              <w:spacing w:line="400" w:lineRule="exact"/>
              <w:rPr>
                <w:rFonts w:ascii="仿宋_GB2312" w:hAnsi="仿宋_GB2312" w:eastAsia="仿宋_GB2312" w:cs="仿宋_GB2312"/>
                <w:sz w:val="28"/>
                <w:szCs w:val="28"/>
                <w:lang w:bidi="ar"/>
              </w:rPr>
            </w:pPr>
            <w:r>
              <w:rPr>
                <w:rFonts w:hint="eastAsia" w:ascii="仿宋_GB2312" w:hAnsi="仿宋_GB2312" w:eastAsia="仿宋_GB2312" w:cs="仿宋_GB2312"/>
                <w:sz w:val="24"/>
                <w:lang w:bidi="ar"/>
              </w:rPr>
              <w:t>社会公众部分有意见、反映强烈，可能引发矛盾冲突，但可以采取风险防范措施予以化解，存在一定社会稳定、生态环境、财政或者公共安全风险隐患的</w:t>
            </w:r>
          </w:p>
        </w:tc>
        <w:tc>
          <w:tcPr>
            <w:tcW w:w="2476" w:type="dxa"/>
            <w:vAlign w:val="center"/>
          </w:tcPr>
          <w:p>
            <w:pPr>
              <w:spacing w:line="400" w:lineRule="exact"/>
              <w:rPr>
                <w:rFonts w:ascii="仿宋_GB2312" w:hAnsi="仿宋_GB2312" w:eastAsia="仿宋_GB2312" w:cs="仿宋_GB2312"/>
                <w:sz w:val="28"/>
                <w:szCs w:val="28"/>
                <w:lang w:bidi="ar"/>
              </w:rPr>
            </w:pPr>
            <w:r>
              <w:rPr>
                <w:rFonts w:hint="eastAsia" w:ascii="仿宋_GB2312" w:hAnsi="仿宋_GB2312" w:eastAsia="仿宋_GB2312" w:cs="仿宋_GB2312"/>
                <w:sz w:val="24"/>
                <w:lang w:bidi="ar"/>
              </w:rPr>
              <w:t>社会公众能够理解支持，少部分人有意见，存在较小社会稳定、生态环境、财政或者公共安全风险隐患的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pPr>
              <w:spacing w:line="500" w:lineRule="exact"/>
              <w:jc w:val="center"/>
              <w:rPr>
                <w:rFonts w:ascii="黑体" w:hAnsi="黑体" w:eastAsia="黑体" w:cs="仿宋_GB2312"/>
                <w:bCs/>
                <w:sz w:val="32"/>
                <w:szCs w:val="32"/>
                <w:lang w:bidi="ar"/>
              </w:rPr>
            </w:pPr>
            <w:r>
              <w:rPr>
                <w:rFonts w:ascii="黑体" w:hAnsi="黑体" w:eastAsia="黑体"/>
                <w:bCs/>
                <w:sz w:val="28"/>
              </w:rPr>
              <w:t>风险程度评判标准</w:t>
            </w:r>
          </w:p>
        </w:tc>
        <w:tc>
          <w:tcPr>
            <w:tcW w:w="2585" w:type="dxa"/>
            <w:vAlign w:val="center"/>
          </w:tcPr>
          <w:p>
            <w:pPr>
              <w:spacing w:line="500" w:lineRule="exact"/>
              <w:jc w:val="center"/>
              <w:rPr>
                <w:rFonts w:ascii="仿宋_GB2312" w:hAnsi="仿宋_GB2312" w:eastAsia="仿宋_GB2312" w:cs="仿宋_GB2312"/>
                <w:sz w:val="28"/>
                <w:szCs w:val="28"/>
                <w:lang w:bidi="ar"/>
              </w:rPr>
            </w:pPr>
            <w:r>
              <w:rPr>
                <w:rFonts w:hint="eastAsia" w:ascii="仿宋_GB2312" w:hAnsi="仿宋_GB2312" w:eastAsia="仿宋_GB2312" w:cs="仿宋_GB2312"/>
                <w:sz w:val="24"/>
                <w:lang w:bidi="ar"/>
              </w:rPr>
              <w:t>2个及以上高风险</w:t>
            </w:r>
          </w:p>
        </w:tc>
        <w:tc>
          <w:tcPr>
            <w:tcW w:w="2564" w:type="dxa"/>
            <w:vAlign w:val="center"/>
          </w:tcPr>
          <w:p>
            <w:pPr>
              <w:pStyle w:val="25"/>
              <w:spacing w:before="1" w:line="242" w:lineRule="auto"/>
              <w:ind w:right="106"/>
              <w:rPr>
                <w:rFonts w:ascii="仿宋_GB2312" w:hAnsi="仿宋_GB2312" w:eastAsia="仿宋_GB2312" w:cs="仿宋_GB2312"/>
                <w:sz w:val="24"/>
                <w:lang w:val="en-US" w:bidi="ar"/>
              </w:rPr>
            </w:pPr>
            <w:r>
              <w:rPr>
                <w:rFonts w:hint="eastAsia" w:ascii="仿宋_GB2312" w:hAnsi="仿宋_GB2312" w:eastAsia="仿宋_GB2312" w:cs="仿宋_GB2312"/>
                <w:sz w:val="24"/>
                <w:lang w:val="en-US" w:bidi="ar"/>
              </w:rPr>
              <w:t>1个高风险或2个及以上中风险</w:t>
            </w:r>
          </w:p>
        </w:tc>
        <w:tc>
          <w:tcPr>
            <w:tcW w:w="2476" w:type="dxa"/>
            <w:vAlign w:val="center"/>
          </w:tcPr>
          <w:p>
            <w:pPr>
              <w:pStyle w:val="25"/>
              <w:ind w:right="218"/>
              <w:rPr>
                <w:rFonts w:ascii="仿宋_GB2312" w:hAnsi="仿宋_GB2312" w:eastAsia="仿宋_GB2312" w:cs="仿宋_GB2312"/>
                <w:sz w:val="24"/>
                <w:lang w:val="en-US" w:bidi="ar"/>
              </w:rPr>
            </w:pPr>
            <w:r>
              <w:rPr>
                <w:rFonts w:hint="eastAsia" w:ascii="仿宋_GB2312" w:hAnsi="仿宋_GB2312" w:eastAsia="仿宋_GB2312" w:cs="仿宋_GB2312"/>
                <w:sz w:val="24"/>
                <w:lang w:val="en-US" w:bidi="ar"/>
              </w:rPr>
              <w:t>1个中风险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7" w:type="dxa"/>
            <w:vAlign w:val="center"/>
          </w:tcPr>
          <w:p>
            <w:pPr>
              <w:spacing w:line="500" w:lineRule="exact"/>
              <w:jc w:val="center"/>
              <w:rPr>
                <w:rFonts w:ascii="黑体" w:hAnsi="黑体" w:eastAsia="黑体" w:cs="仿宋_GB2312"/>
                <w:bCs/>
                <w:sz w:val="32"/>
                <w:szCs w:val="32"/>
                <w:lang w:bidi="ar"/>
              </w:rPr>
            </w:pPr>
            <w:r>
              <w:rPr>
                <w:rFonts w:ascii="黑体" w:hAnsi="黑体" w:eastAsia="黑体"/>
                <w:bCs/>
                <w:sz w:val="28"/>
              </w:rPr>
              <w:t>风险指数评判标准</w:t>
            </w:r>
          </w:p>
        </w:tc>
        <w:tc>
          <w:tcPr>
            <w:tcW w:w="2585" w:type="dxa"/>
            <w:vAlign w:val="center"/>
          </w:tcPr>
          <w:p>
            <w:pPr>
              <w:spacing w:line="500" w:lineRule="exact"/>
              <w:ind w:firstLine="280" w:firstLineChars="100"/>
              <w:rPr>
                <w:rFonts w:ascii="仿宋_GB2312" w:hAnsi="仿宋_GB2312" w:eastAsia="仿宋_GB2312" w:cs="仿宋_GB2312"/>
                <w:sz w:val="32"/>
                <w:szCs w:val="32"/>
                <w:lang w:bidi="ar"/>
              </w:rPr>
            </w:pPr>
            <w:r>
              <w:rPr>
                <w:rFonts w:hint="eastAsia" w:ascii="仿宋_GB2312" w:hAnsi="仿宋_GB2312" w:eastAsia="仿宋_GB2312" w:cs="仿宋_GB2312"/>
                <w:sz w:val="28"/>
                <w:szCs w:val="28"/>
                <w:lang w:bidi="ar"/>
              </w:rPr>
              <w:t>3≥(∑R)/N&gt;2</w:t>
            </w:r>
          </w:p>
        </w:tc>
        <w:tc>
          <w:tcPr>
            <w:tcW w:w="2564" w:type="dxa"/>
            <w:vAlign w:val="center"/>
          </w:tcPr>
          <w:p>
            <w:pPr>
              <w:pStyle w:val="25"/>
              <w:ind w:right="420"/>
              <w:rPr>
                <w:rFonts w:ascii="仿宋_GB2312" w:hAnsi="仿宋_GB2312" w:eastAsia="仿宋_GB2312" w:cs="仿宋_GB2312"/>
                <w:sz w:val="28"/>
                <w:szCs w:val="28"/>
                <w:lang w:val="en-US" w:bidi="ar"/>
              </w:rPr>
            </w:pPr>
            <w:r>
              <w:rPr>
                <w:rFonts w:hint="eastAsia" w:ascii="仿宋_GB2312" w:hAnsi="仿宋_GB2312" w:eastAsia="仿宋_GB2312" w:cs="仿宋_GB2312"/>
                <w:sz w:val="28"/>
                <w:szCs w:val="28"/>
                <w:lang w:val="en-US" w:bidi="ar"/>
              </w:rPr>
              <w:t>2≥(∑R)/N≥1</w:t>
            </w:r>
          </w:p>
        </w:tc>
        <w:tc>
          <w:tcPr>
            <w:tcW w:w="2476" w:type="dxa"/>
            <w:vAlign w:val="center"/>
          </w:tcPr>
          <w:p>
            <w:pPr>
              <w:pStyle w:val="25"/>
              <w:ind w:right="218"/>
              <w:rPr>
                <w:rFonts w:ascii="仿宋_GB2312" w:hAnsi="仿宋_GB2312" w:eastAsia="仿宋_GB2312" w:cs="仿宋_GB2312"/>
                <w:sz w:val="28"/>
                <w:szCs w:val="28"/>
                <w:lang w:val="en-US" w:bidi="ar"/>
              </w:rPr>
            </w:pPr>
            <w:r>
              <w:rPr>
                <w:rFonts w:hint="eastAsia" w:ascii="仿宋_GB2312" w:hAnsi="仿宋_GB2312" w:eastAsia="仿宋_GB2312" w:cs="仿宋_GB2312"/>
                <w:sz w:val="28"/>
                <w:szCs w:val="28"/>
                <w:lang w:val="en-US" w:bidi="ar"/>
              </w:rPr>
              <w:t>1&gt;(∑R)/N≥0</w:t>
            </w:r>
          </w:p>
        </w:tc>
      </w:tr>
    </w:tbl>
    <w:p>
      <w:pPr>
        <w:spacing w:line="560" w:lineRule="exact"/>
        <w:rPr>
          <w:rFonts w:ascii="黑体" w:hAnsi="黑体" w:eastAsia="黑体" w:cs="黑体"/>
          <w:sz w:val="32"/>
          <w:szCs w:val="32"/>
        </w:rPr>
      </w:pPr>
    </w:p>
    <w:p>
      <w:pPr>
        <w:spacing w:line="560" w:lineRule="exact"/>
        <w:ind w:firstLine="640" w:firstLineChars="200"/>
        <w:outlineLvl w:val="1"/>
        <w:rPr>
          <w:rFonts w:ascii="黑体" w:hAnsi="黑体" w:eastAsia="黑体" w:cs="黑体"/>
          <w:sz w:val="32"/>
          <w:szCs w:val="32"/>
        </w:rPr>
      </w:pPr>
      <w:bookmarkStart w:id="34" w:name="_Toc24024"/>
      <w:r>
        <w:rPr>
          <w:rFonts w:hint="eastAsia" w:ascii="黑体" w:hAnsi="黑体" w:eastAsia="黑体" w:cs="黑体"/>
          <w:sz w:val="32"/>
          <w:szCs w:val="32"/>
        </w:rPr>
        <w:t>二、风险等级判断</w:t>
      </w:r>
      <w:bookmarkEnd w:id="34"/>
    </w:p>
    <w:p>
      <w:pPr>
        <w:spacing w:line="560" w:lineRule="exact"/>
        <w:ind w:firstLine="640" w:firstLineChars="200"/>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lang w:bidi="ar"/>
        </w:rPr>
        <w:t>根据评判标准定性估计单因素风险等级，风险评估小组对估计结果进行赋值、计</w:t>
      </w:r>
      <w:r>
        <w:rPr>
          <w:rFonts w:hint="eastAsia" w:ascii="仿宋_GB2312" w:hAnsi="仿宋_GB2312" w:eastAsia="仿宋_GB2312" w:cs="仿宋_GB2312"/>
          <w:sz w:val="32"/>
          <w:szCs w:val="32"/>
          <w:highlight w:val="none"/>
          <w:lang w:bidi="ar"/>
        </w:rPr>
        <w:t>算，得到风险评估结果表（表5-3）。对《实施</w:t>
      </w:r>
      <w:r>
        <w:rPr>
          <w:rFonts w:hint="eastAsia" w:ascii="仿宋_GB2312" w:hAnsi="仿宋_GB2312" w:eastAsia="仿宋_GB2312" w:cs="仿宋_GB2312"/>
          <w:sz w:val="32"/>
          <w:szCs w:val="32"/>
          <w:highlight w:val="none"/>
          <w:lang w:val="en-US" w:eastAsia="zh-CN" w:bidi="ar"/>
        </w:rPr>
        <w:t>意见</w:t>
      </w:r>
      <w:r>
        <w:rPr>
          <w:rFonts w:hint="eastAsia" w:ascii="仿宋_GB2312" w:hAnsi="仿宋_GB2312" w:eastAsia="仿宋_GB2312" w:cs="仿宋_GB2312"/>
          <w:sz w:val="32"/>
          <w:szCs w:val="32"/>
          <w:highlight w:val="none"/>
          <w:lang w:bidi="ar"/>
        </w:rPr>
        <w:t>》涉及到的10项风险因素进行评估，其中只有舆情应对风险因素为中风险，剩余</w:t>
      </w:r>
      <w:r>
        <w:rPr>
          <w:rFonts w:ascii="仿宋_GB2312" w:hAnsi="仿宋_GB2312" w:eastAsia="仿宋_GB2312" w:cs="仿宋_GB2312"/>
          <w:sz w:val="32"/>
          <w:szCs w:val="32"/>
          <w:highlight w:val="none"/>
          <w:lang w:bidi="ar"/>
        </w:rPr>
        <w:t>9</w:t>
      </w:r>
      <w:r>
        <w:rPr>
          <w:rFonts w:hint="eastAsia" w:ascii="仿宋_GB2312" w:hAnsi="仿宋_GB2312" w:eastAsia="仿宋_GB2312" w:cs="仿宋_GB2312"/>
          <w:sz w:val="32"/>
          <w:szCs w:val="32"/>
          <w:highlight w:val="none"/>
          <w:lang w:bidi="ar"/>
        </w:rPr>
        <w:t>项风险因素为低风险等级。公众参与风险、宣传引导风险；复杂社会矛盾风险、群体性事件风险、过激敏感事件风险；人居环境质量风险；日常公共安全风险；财政承受能力风险，财政投资效益风险均为低风险。</w:t>
      </w:r>
    </w:p>
    <w:p>
      <w:pPr>
        <w:spacing w:line="560" w:lineRule="exact"/>
        <w:ind w:firstLine="640" w:firstLineChars="200"/>
        <w:rPr>
          <w:rFonts w:ascii="仿宋_GB2312" w:hAnsi="仿宋_GB2312" w:eastAsia="仿宋_GB2312" w:cs="仿宋_GB2312"/>
          <w:sz w:val="32"/>
          <w:szCs w:val="32"/>
          <w:lang w:bidi="ar"/>
        </w:rPr>
      </w:pPr>
    </w:p>
    <w:p>
      <w:pPr>
        <w:spacing w:line="560" w:lineRule="exact"/>
        <w:rPr>
          <w:rFonts w:ascii="仿宋_GB2312" w:hAnsi="仿宋_GB2312" w:eastAsia="仿宋_GB2312" w:cs="仿宋_GB2312"/>
          <w:sz w:val="32"/>
          <w:szCs w:val="32"/>
          <w:lang w:bidi="ar"/>
        </w:rPr>
      </w:pPr>
    </w:p>
    <w:p>
      <w:pPr>
        <w:spacing w:line="560" w:lineRule="exact"/>
        <w:rPr>
          <w:rFonts w:ascii="仿宋_GB2312" w:hAnsi="仿宋_GB2312" w:eastAsia="仿宋_GB2312" w:cs="仿宋_GB2312"/>
          <w:sz w:val="32"/>
          <w:szCs w:val="32"/>
          <w:lang w:bidi="ar"/>
        </w:rPr>
      </w:pPr>
    </w:p>
    <w:p>
      <w:pPr>
        <w:spacing w:line="560" w:lineRule="exact"/>
        <w:ind w:firstLine="560" w:firstLineChars="200"/>
        <w:jc w:val="center"/>
        <w:rPr>
          <w:rFonts w:ascii="仿宋_GB2312" w:hAnsi="仿宋_GB2312" w:eastAsia="仿宋_GB2312" w:cs="仿宋_GB2312"/>
          <w:sz w:val="32"/>
          <w:szCs w:val="32"/>
          <w:lang w:bidi="ar"/>
        </w:rPr>
      </w:pPr>
      <w:r>
        <w:rPr>
          <w:rFonts w:hint="eastAsia" w:ascii="黑体" w:hAnsi="黑体" w:eastAsia="黑体" w:cs="黑体"/>
          <w:sz w:val="28"/>
        </w:rPr>
        <w:t>表</w:t>
      </w:r>
      <w:r>
        <w:rPr>
          <w:rFonts w:hint="eastAsia" w:ascii="黑体" w:hAnsi="黑体" w:eastAsia="黑体" w:cs="黑体"/>
          <w:spacing w:val="1"/>
          <w:sz w:val="28"/>
        </w:rPr>
        <w:t xml:space="preserve"> </w:t>
      </w:r>
      <w:r>
        <w:rPr>
          <w:rFonts w:hint="eastAsia" w:ascii="黑体" w:hAnsi="黑体" w:eastAsia="黑体" w:cs="黑体"/>
          <w:sz w:val="28"/>
        </w:rPr>
        <w:t>5-3</w:t>
      </w:r>
      <w:r>
        <w:rPr>
          <w:rFonts w:hint="eastAsia" w:ascii="黑体" w:hAnsi="黑体" w:eastAsia="黑体" w:cs="黑体"/>
          <w:sz w:val="28"/>
        </w:rPr>
        <w:tab/>
      </w:r>
      <w:r>
        <w:rPr>
          <w:rFonts w:hint="eastAsia" w:ascii="黑体" w:hAnsi="黑体" w:eastAsia="黑体" w:cs="黑体"/>
          <w:sz w:val="28"/>
        </w:rPr>
        <w:t>措施前《实施方案》风险评估表</w:t>
      </w:r>
    </w:p>
    <w:tbl>
      <w:tblPr>
        <w:tblStyle w:val="13"/>
        <w:tblpPr w:leftFromText="180" w:rightFromText="180" w:vertAnchor="text" w:horzAnchor="page" w:tblpX="1483" w:tblpY="57"/>
        <w:tblOverlap w:val="never"/>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4374"/>
        <w:gridCol w:w="2487"/>
        <w:gridCol w:w="13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809" w:type="dxa"/>
            <w:vAlign w:val="center"/>
          </w:tcPr>
          <w:p>
            <w:pPr>
              <w:pStyle w:val="25"/>
              <w:spacing w:line="482" w:lineRule="exact"/>
              <w:ind w:left="103" w:right="96"/>
              <w:rPr>
                <w:rFonts w:ascii="黑体" w:hAnsi="黑体" w:eastAsia="黑体" w:cs="黑体"/>
                <w:sz w:val="28"/>
              </w:rPr>
            </w:pPr>
            <w:r>
              <w:rPr>
                <w:rFonts w:hint="eastAsia" w:ascii="黑体" w:hAnsi="黑体" w:eastAsia="黑体" w:cs="黑体"/>
                <w:sz w:val="28"/>
              </w:rPr>
              <w:t>序号</w:t>
            </w:r>
          </w:p>
        </w:tc>
        <w:tc>
          <w:tcPr>
            <w:tcW w:w="4374" w:type="dxa"/>
            <w:vAlign w:val="center"/>
          </w:tcPr>
          <w:p>
            <w:pPr>
              <w:pStyle w:val="25"/>
              <w:spacing w:line="482" w:lineRule="exact"/>
              <w:ind w:left="1041" w:right="1040"/>
              <w:rPr>
                <w:rFonts w:ascii="黑体" w:hAnsi="黑体" w:eastAsia="黑体" w:cs="黑体"/>
                <w:sz w:val="28"/>
              </w:rPr>
            </w:pPr>
            <w:r>
              <w:rPr>
                <w:rFonts w:hint="eastAsia" w:ascii="黑体" w:hAnsi="黑体" w:eastAsia="黑体" w:cs="黑体"/>
                <w:sz w:val="28"/>
              </w:rPr>
              <w:t>风险因素</w:t>
            </w:r>
          </w:p>
        </w:tc>
        <w:tc>
          <w:tcPr>
            <w:tcW w:w="2487" w:type="dxa"/>
            <w:vAlign w:val="center"/>
          </w:tcPr>
          <w:p>
            <w:pPr>
              <w:pStyle w:val="25"/>
              <w:spacing w:line="482" w:lineRule="exact"/>
              <w:ind w:left="106" w:right="97"/>
              <w:rPr>
                <w:rFonts w:ascii="黑体" w:hAnsi="黑体" w:eastAsia="黑体" w:cs="黑体"/>
                <w:sz w:val="28"/>
              </w:rPr>
            </w:pPr>
            <w:r>
              <w:rPr>
                <w:rFonts w:hint="eastAsia" w:ascii="黑体" w:hAnsi="黑体" w:eastAsia="黑体" w:cs="黑体"/>
                <w:sz w:val="28"/>
              </w:rPr>
              <w:t>单因素风险程度 R</w:t>
            </w:r>
          </w:p>
        </w:tc>
        <w:tc>
          <w:tcPr>
            <w:tcW w:w="1392" w:type="dxa"/>
            <w:vAlign w:val="center"/>
          </w:tcPr>
          <w:p>
            <w:pPr>
              <w:pStyle w:val="25"/>
              <w:spacing w:line="482" w:lineRule="exact"/>
              <w:ind w:left="114" w:right="108"/>
              <w:rPr>
                <w:rFonts w:ascii="黑体" w:hAnsi="黑体" w:eastAsia="黑体" w:cs="黑体"/>
                <w:sz w:val="28"/>
              </w:rPr>
            </w:pPr>
            <w:r>
              <w:rPr>
                <w:rFonts w:hint="eastAsia" w:ascii="黑体" w:hAnsi="黑体" w:eastAsia="黑体" w:cs="黑体"/>
                <w:sz w:val="28"/>
              </w:rPr>
              <w:t>判定结果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黑体" w:hAnsi="黑体" w:eastAsia="黑体" w:cs="黑体"/>
                <w:sz w:val="28"/>
                <w:lang w:val="en-US"/>
              </w:rPr>
            </w:pPr>
            <w:r>
              <w:rPr>
                <w:rFonts w:hint="eastAsia" w:ascii="黑体" w:hAnsi="黑体" w:eastAsia="黑体" w:cs="黑体"/>
                <w:sz w:val="28"/>
                <w:lang w:val="en-US"/>
              </w:rPr>
              <w:t>一</w:t>
            </w:r>
          </w:p>
        </w:tc>
        <w:tc>
          <w:tcPr>
            <w:tcW w:w="4374" w:type="dxa"/>
          </w:tcPr>
          <w:p>
            <w:pPr>
              <w:pStyle w:val="25"/>
              <w:spacing w:before="68"/>
              <w:ind w:left="1043" w:right="1039"/>
              <w:rPr>
                <w:rFonts w:ascii="黑体" w:hAnsi="黑体" w:eastAsia="黑体" w:cs="黑体"/>
                <w:sz w:val="28"/>
                <w:lang w:val="en-US"/>
              </w:rPr>
            </w:pPr>
            <w:r>
              <w:rPr>
                <w:rFonts w:hint="eastAsia" w:ascii="黑体" w:hAnsi="黑体" w:eastAsia="黑体" w:cs="黑体"/>
                <w:sz w:val="28"/>
                <w:lang w:val="en-US"/>
              </w:rPr>
              <w:t>社会稳定风险</w:t>
            </w:r>
          </w:p>
        </w:tc>
        <w:tc>
          <w:tcPr>
            <w:tcW w:w="2487" w:type="dxa"/>
          </w:tcPr>
          <w:p>
            <w:pPr>
              <w:pStyle w:val="25"/>
              <w:spacing w:before="81"/>
              <w:ind w:left="105" w:right="97"/>
              <w:rPr>
                <w:rFonts w:ascii="黑体" w:hAnsi="黑体" w:eastAsia="黑体" w:cs="黑体"/>
                <w:sz w:val="28"/>
                <w:lang w:val="en-US"/>
              </w:rPr>
            </w:pPr>
            <w:r>
              <w:rPr>
                <w:rFonts w:hint="eastAsia" w:ascii="黑体" w:hAnsi="黑体" w:eastAsia="黑体" w:cs="黑体"/>
                <w:b/>
                <w:bCs/>
                <w:sz w:val="28"/>
                <w:lang w:val="en-US"/>
              </w:rPr>
              <w:t>0.60</w:t>
            </w:r>
          </w:p>
        </w:tc>
        <w:tc>
          <w:tcPr>
            <w:tcW w:w="1392" w:type="dxa"/>
          </w:tcPr>
          <w:p>
            <w:pPr>
              <w:pStyle w:val="25"/>
              <w:spacing w:before="68"/>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lang w:val="en-US"/>
              </w:rPr>
            </w:pPr>
            <w:r>
              <w:rPr>
                <w:rFonts w:hint="eastAsia" w:ascii="Times New Roman"/>
                <w:sz w:val="28"/>
                <w:lang w:val="en-US"/>
              </w:rPr>
              <w:t>1</w:t>
            </w:r>
          </w:p>
        </w:tc>
        <w:tc>
          <w:tcPr>
            <w:tcW w:w="4374" w:type="dxa"/>
          </w:tcPr>
          <w:p>
            <w:pPr>
              <w:pStyle w:val="25"/>
              <w:spacing w:before="68"/>
              <w:ind w:left="1043" w:right="1039"/>
              <w:rPr>
                <w:sz w:val="28"/>
                <w:lang w:val="en-US"/>
              </w:rPr>
            </w:pPr>
            <w:r>
              <w:rPr>
                <w:rFonts w:hint="eastAsia"/>
                <w:sz w:val="28"/>
                <w:lang w:val="en-US"/>
              </w:rPr>
              <w:t>复杂社会矛盾风险</w:t>
            </w:r>
          </w:p>
        </w:tc>
        <w:tc>
          <w:tcPr>
            <w:tcW w:w="2487" w:type="dxa"/>
          </w:tcPr>
          <w:p>
            <w:pPr>
              <w:pStyle w:val="25"/>
              <w:spacing w:before="81"/>
              <w:ind w:left="105" w:right="97"/>
              <w:rPr>
                <w:rFonts w:ascii="Times New Roman"/>
                <w:sz w:val="28"/>
                <w:lang w:val="en-US"/>
              </w:rPr>
            </w:pPr>
            <w:r>
              <w:rPr>
                <w:rFonts w:hint="eastAsia" w:ascii="Times New Roman"/>
                <w:sz w:val="28"/>
                <w:lang w:val="en-US"/>
              </w:rPr>
              <w:t>0.60</w:t>
            </w:r>
          </w:p>
        </w:tc>
        <w:tc>
          <w:tcPr>
            <w:tcW w:w="1392" w:type="dxa"/>
          </w:tcPr>
          <w:p>
            <w:pPr>
              <w:pStyle w:val="25"/>
              <w:spacing w:before="68"/>
              <w:ind w:left="114" w:right="103"/>
              <w:rPr>
                <w:sz w:val="28"/>
                <w:lang w:val="en-US"/>
              </w:rPr>
            </w:pPr>
            <w:r>
              <w:rPr>
                <w:rFonts w:hint="eastAsia"/>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ascii="Times New Roman"/>
                <w:sz w:val="28"/>
              </w:rPr>
              <w:t>2</w:t>
            </w:r>
          </w:p>
        </w:tc>
        <w:tc>
          <w:tcPr>
            <w:tcW w:w="4374" w:type="dxa"/>
          </w:tcPr>
          <w:p>
            <w:pPr>
              <w:pStyle w:val="25"/>
              <w:spacing w:before="68"/>
              <w:ind w:left="1043" w:right="1039"/>
              <w:rPr>
                <w:sz w:val="28"/>
              </w:rPr>
            </w:pPr>
            <w:r>
              <w:rPr>
                <w:sz w:val="28"/>
              </w:rPr>
              <w:t>群体性事件风险</w:t>
            </w:r>
          </w:p>
        </w:tc>
        <w:tc>
          <w:tcPr>
            <w:tcW w:w="2487" w:type="dxa"/>
          </w:tcPr>
          <w:p>
            <w:pPr>
              <w:pStyle w:val="25"/>
              <w:spacing w:before="81"/>
              <w:ind w:left="105" w:right="97"/>
              <w:rPr>
                <w:rFonts w:ascii="Times New Roman"/>
                <w:sz w:val="28"/>
                <w:lang w:val="en-US"/>
              </w:rPr>
            </w:pPr>
            <w:r>
              <w:rPr>
                <w:rFonts w:hint="eastAsia" w:ascii="Times New Roman"/>
                <w:sz w:val="28"/>
                <w:lang w:val="en-US"/>
              </w:rPr>
              <w:t>0.60</w:t>
            </w:r>
          </w:p>
        </w:tc>
        <w:tc>
          <w:tcPr>
            <w:tcW w:w="1392" w:type="dxa"/>
          </w:tcPr>
          <w:p>
            <w:pPr>
              <w:pStyle w:val="25"/>
              <w:spacing w:before="68"/>
              <w:ind w:left="114" w:right="103"/>
              <w:rPr>
                <w:sz w:val="28"/>
              </w:rPr>
            </w:pPr>
            <w:r>
              <w:rPr>
                <w:rFonts w:hint="eastAsia"/>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ascii="Times New Roman"/>
                <w:sz w:val="28"/>
              </w:rPr>
              <w:t>3</w:t>
            </w:r>
          </w:p>
        </w:tc>
        <w:tc>
          <w:tcPr>
            <w:tcW w:w="4374" w:type="dxa"/>
          </w:tcPr>
          <w:p>
            <w:pPr>
              <w:pStyle w:val="25"/>
              <w:spacing w:before="68"/>
              <w:ind w:left="1043" w:right="1040"/>
              <w:rPr>
                <w:sz w:val="28"/>
              </w:rPr>
            </w:pPr>
            <w:r>
              <w:rPr>
                <w:sz w:val="28"/>
              </w:rPr>
              <w:t>过激敏感事件风险</w:t>
            </w:r>
          </w:p>
        </w:tc>
        <w:tc>
          <w:tcPr>
            <w:tcW w:w="2487" w:type="dxa"/>
          </w:tcPr>
          <w:p>
            <w:pPr>
              <w:pStyle w:val="25"/>
              <w:spacing w:before="81"/>
              <w:ind w:left="105" w:right="97"/>
              <w:rPr>
                <w:rFonts w:ascii="Times New Roman"/>
                <w:sz w:val="28"/>
                <w:lang w:val="en-US"/>
              </w:rPr>
            </w:pPr>
            <w:r>
              <w:rPr>
                <w:rFonts w:hint="eastAsia" w:ascii="Times New Roman"/>
                <w:sz w:val="28"/>
                <w:lang w:val="en-US"/>
              </w:rPr>
              <w:t>0.60</w:t>
            </w:r>
          </w:p>
        </w:tc>
        <w:tc>
          <w:tcPr>
            <w:tcW w:w="1392" w:type="dxa"/>
          </w:tcPr>
          <w:p>
            <w:pPr>
              <w:pStyle w:val="25"/>
              <w:spacing w:before="68"/>
              <w:ind w:left="114" w:right="103"/>
              <w:rPr>
                <w:sz w:val="28"/>
              </w:rPr>
            </w:pPr>
            <w:r>
              <w:rPr>
                <w:rFonts w:hint="eastAsia"/>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09" w:type="dxa"/>
          </w:tcPr>
          <w:p>
            <w:pPr>
              <w:pStyle w:val="25"/>
              <w:spacing w:before="82"/>
              <w:ind w:left="8"/>
              <w:rPr>
                <w:rFonts w:ascii="Times New Roman"/>
                <w:sz w:val="28"/>
                <w:lang w:val="en-US"/>
              </w:rPr>
            </w:pPr>
            <w:r>
              <w:rPr>
                <w:rFonts w:hint="eastAsia" w:ascii="黑体" w:hAnsi="黑体" w:eastAsia="黑体" w:cs="黑体"/>
                <w:sz w:val="28"/>
                <w:lang w:val="en-US"/>
              </w:rPr>
              <w:t>二</w:t>
            </w:r>
          </w:p>
        </w:tc>
        <w:tc>
          <w:tcPr>
            <w:tcW w:w="4374" w:type="dxa"/>
          </w:tcPr>
          <w:p>
            <w:pPr>
              <w:pStyle w:val="25"/>
              <w:spacing w:before="70"/>
              <w:ind w:left="1043" w:right="1040"/>
              <w:rPr>
                <w:sz w:val="28"/>
                <w:lang w:val="en-US"/>
              </w:rPr>
            </w:pPr>
            <w:r>
              <w:rPr>
                <w:rFonts w:hint="eastAsia" w:ascii="黑体" w:hAnsi="黑体" w:eastAsia="黑体" w:cs="黑体"/>
                <w:sz w:val="28"/>
                <w:lang w:val="en-US"/>
              </w:rPr>
              <w:t>生态环境风险</w:t>
            </w:r>
          </w:p>
        </w:tc>
        <w:tc>
          <w:tcPr>
            <w:tcW w:w="2487" w:type="dxa"/>
          </w:tcPr>
          <w:p>
            <w:pPr>
              <w:pStyle w:val="25"/>
              <w:spacing w:before="82"/>
              <w:ind w:left="105" w:right="97"/>
              <w:rPr>
                <w:rFonts w:ascii="黑体" w:hAnsi="黑体" w:eastAsia="黑体" w:cs="黑体"/>
                <w:sz w:val="28"/>
                <w:lang w:val="en-US"/>
              </w:rPr>
            </w:pPr>
            <w:r>
              <w:rPr>
                <w:rFonts w:hint="eastAsia" w:ascii="黑体" w:hAnsi="黑体" w:eastAsia="黑体" w:cs="黑体"/>
                <w:b/>
                <w:bCs/>
                <w:sz w:val="28"/>
                <w:lang w:val="en-US"/>
              </w:rPr>
              <w:t>0.50</w:t>
            </w:r>
          </w:p>
        </w:tc>
        <w:tc>
          <w:tcPr>
            <w:tcW w:w="1392" w:type="dxa"/>
          </w:tcPr>
          <w:p>
            <w:pPr>
              <w:pStyle w:val="25"/>
              <w:spacing w:before="70"/>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09" w:type="dxa"/>
          </w:tcPr>
          <w:p>
            <w:pPr>
              <w:pStyle w:val="25"/>
              <w:spacing w:before="82"/>
              <w:ind w:left="8"/>
              <w:rPr>
                <w:rFonts w:ascii="Times New Roman"/>
                <w:sz w:val="28"/>
              </w:rPr>
            </w:pPr>
            <w:r>
              <w:rPr>
                <w:rFonts w:hint="eastAsia" w:ascii="Times New Roman"/>
                <w:sz w:val="28"/>
                <w:lang w:val="en-US"/>
              </w:rPr>
              <w:t>1</w:t>
            </w:r>
          </w:p>
        </w:tc>
        <w:tc>
          <w:tcPr>
            <w:tcW w:w="4374" w:type="dxa"/>
          </w:tcPr>
          <w:p>
            <w:pPr>
              <w:pStyle w:val="25"/>
              <w:spacing w:before="70"/>
              <w:ind w:left="1043" w:right="1040"/>
              <w:rPr>
                <w:sz w:val="28"/>
              </w:rPr>
            </w:pPr>
            <w:r>
              <w:rPr>
                <w:sz w:val="28"/>
              </w:rPr>
              <w:t>人居环境质量风险</w:t>
            </w:r>
          </w:p>
        </w:tc>
        <w:tc>
          <w:tcPr>
            <w:tcW w:w="2487" w:type="dxa"/>
          </w:tcPr>
          <w:p>
            <w:pPr>
              <w:pStyle w:val="25"/>
              <w:spacing w:before="82"/>
              <w:ind w:left="105" w:right="97"/>
              <w:rPr>
                <w:rFonts w:ascii="Times New Roman"/>
                <w:sz w:val="28"/>
              </w:rPr>
            </w:pPr>
            <w:r>
              <w:rPr>
                <w:rFonts w:ascii="Times New Roman"/>
                <w:sz w:val="28"/>
              </w:rPr>
              <w:t>0.</w:t>
            </w:r>
            <w:r>
              <w:rPr>
                <w:rFonts w:hint="eastAsia" w:ascii="Times New Roman"/>
                <w:sz w:val="28"/>
                <w:lang w:val="en-US"/>
              </w:rPr>
              <w:t>5</w:t>
            </w:r>
            <w:r>
              <w:rPr>
                <w:rFonts w:ascii="Times New Roman"/>
                <w:sz w:val="28"/>
              </w:rPr>
              <w:t>0</w:t>
            </w:r>
          </w:p>
        </w:tc>
        <w:tc>
          <w:tcPr>
            <w:tcW w:w="1392" w:type="dxa"/>
          </w:tcPr>
          <w:p>
            <w:pPr>
              <w:pStyle w:val="25"/>
              <w:spacing w:before="70"/>
              <w:ind w:left="114" w:right="103"/>
              <w:rPr>
                <w:sz w:val="28"/>
              </w:rPr>
            </w:pPr>
            <w:r>
              <w:rPr>
                <w:sz w:val="28"/>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黑体" w:hAnsi="黑体" w:eastAsia="黑体" w:cs="黑体"/>
                <w:sz w:val="28"/>
                <w:lang w:val="en-US"/>
              </w:rPr>
            </w:pPr>
            <w:r>
              <w:rPr>
                <w:rFonts w:hint="eastAsia" w:ascii="黑体" w:hAnsi="黑体" w:eastAsia="黑体" w:cs="黑体"/>
                <w:sz w:val="28"/>
                <w:lang w:val="en-US"/>
              </w:rPr>
              <w:t>三</w:t>
            </w:r>
          </w:p>
        </w:tc>
        <w:tc>
          <w:tcPr>
            <w:tcW w:w="4374" w:type="dxa"/>
          </w:tcPr>
          <w:p>
            <w:pPr>
              <w:pStyle w:val="25"/>
              <w:spacing w:before="70"/>
              <w:ind w:left="1043" w:right="1040"/>
              <w:rPr>
                <w:rFonts w:ascii="黑体" w:hAnsi="黑体" w:eastAsia="黑体" w:cs="黑体"/>
                <w:sz w:val="28"/>
                <w:lang w:val="en-US"/>
              </w:rPr>
            </w:pPr>
            <w:r>
              <w:rPr>
                <w:rFonts w:hint="eastAsia" w:ascii="黑体" w:hAnsi="黑体" w:eastAsia="黑体" w:cs="黑体"/>
                <w:sz w:val="28"/>
                <w:lang w:val="en-US"/>
              </w:rPr>
              <w:t>公共安全风险</w:t>
            </w:r>
          </w:p>
        </w:tc>
        <w:tc>
          <w:tcPr>
            <w:tcW w:w="2487" w:type="dxa"/>
          </w:tcPr>
          <w:p>
            <w:pPr>
              <w:pStyle w:val="25"/>
              <w:spacing w:before="81"/>
              <w:ind w:left="105" w:right="97"/>
              <w:rPr>
                <w:rFonts w:ascii="黑体" w:hAnsi="黑体" w:eastAsia="黑体" w:cs="黑体"/>
                <w:sz w:val="28"/>
                <w:lang w:val="en-US"/>
              </w:rPr>
            </w:pPr>
            <w:r>
              <w:rPr>
                <w:rFonts w:hint="eastAsia" w:ascii="黑体" w:hAnsi="黑体" w:eastAsia="黑体" w:cs="黑体"/>
                <w:b/>
                <w:bCs/>
                <w:sz w:val="28"/>
                <w:lang w:val="en-US"/>
              </w:rPr>
              <w:t>0.60</w:t>
            </w:r>
          </w:p>
        </w:tc>
        <w:tc>
          <w:tcPr>
            <w:tcW w:w="1392" w:type="dxa"/>
          </w:tcPr>
          <w:p>
            <w:pPr>
              <w:pStyle w:val="25"/>
              <w:spacing w:before="70"/>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ascii="Times New Roman"/>
                <w:sz w:val="28"/>
              </w:rPr>
              <w:t>1</w:t>
            </w:r>
          </w:p>
        </w:tc>
        <w:tc>
          <w:tcPr>
            <w:tcW w:w="4374" w:type="dxa"/>
          </w:tcPr>
          <w:p>
            <w:pPr>
              <w:pStyle w:val="25"/>
              <w:spacing w:before="70"/>
              <w:ind w:left="1043" w:right="1040"/>
              <w:rPr>
                <w:sz w:val="28"/>
              </w:rPr>
            </w:pPr>
            <w:r>
              <w:rPr>
                <w:sz w:val="28"/>
              </w:rPr>
              <w:t>日常</w:t>
            </w:r>
            <w:r>
              <w:rPr>
                <w:rFonts w:hint="eastAsia"/>
                <w:sz w:val="28"/>
                <w:lang w:val="en-US"/>
              </w:rPr>
              <w:t>公共</w:t>
            </w:r>
            <w:r>
              <w:rPr>
                <w:sz w:val="28"/>
              </w:rPr>
              <w:t>安全风险</w:t>
            </w:r>
          </w:p>
        </w:tc>
        <w:tc>
          <w:tcPr>
            <w:tcW w:w="2487" w:type="dxa"/>
          </w:tcPr>
          <w:p>
            <w:pPr>
              <w:pStyle w:val="25"/>
              <w:spacing w:before="81"/>
              <w:ind w:left="105" w:right="97"/>
              <w:rPr>
                <w:rFonts w:ascii="Times New Roman"/>
                <w:sz w:val="28"/>
                <w:lang w:val="en-US"/>
              </w:rPr>
            </w:pPr>
            <w:r>
              <w:rPr>
                <w:rFonts w:hint="eastAsia" w:ascii="Times New Roman"/>
                <w:sz w:val="28"/>
                <w:lang w:val="en-US"/>
              </w:rPr>
              <w:t>0.60</w:t>
            </w:r>
          </w:p>
        </w:tc>
        <w:tc>
          <w:tcPr>
            <w:tcW w:w="1392" w:type="dxa"/>
          </w:tcPr>
          <w:p>
            <w:pPr>
              <w:pStyle w:val="25"/>
              <w:spacing w:before="70"/>
              <w:ind w:left="114" w:right="103"/>
              <w:rPr>
                <w:sz w:val="28"/>
              </w:rPr>
            </w:pPr>
            <w:r>
              <w:rPr>
                <w:rFonts w:hint="eastAsia"/>
                <w:sz w:val="28"/>
                <w:lang w:val="en-US"/>
              </w:rPr>
              <w:t>低</w:t>
            </w:r>
            <w:r>
              <w:rPr>
                <w:sz w:val="28"/>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09" w:type="dxa"/>
          </w:tcPr>
          <w:p>
            <w:pPr>
              <w:pStyle w:val="25"/>
              <w:spacing w:before="84"/>
              <w:ind w:left="8"/>
              <w:rPr>
                <w:rFonts w:ascii="黑体" w:hAnsi="黑体" w:eastAsia="黑体" w:cs="黑体"/>
                <w:sz w:val="28"/>
                <w:lang w:val="en-US"/>
              </w:rPr>
            </w:pPr>
            <w:r>
              <w:rPr>
                <w:rFonts w:hint="eastAsia" w:ascii="黑体" w:hAnsi="黑体" w:eastAsia="黑体" w:cs="黑体"/>
                <w:sz w:val="28"/>
                <w:lang w:val="en-US"/>
              </w:rPr>
              <w:t>四</w:t>
            </w:r>
          </w:p>
        </w:tc>
        <w:tc>
          <w:tcPr>
            <w:tcW w:w="4374" w:type="dxa"/>
          </w:tcPr>
          <w:p>
            <w:pPr>
              <w:pStyle w:val="25"/>
              <w:spacing w:before="70"/>
              <w:ind w:left="1043" w:right="1040"/>
              <w:rPr>
                <w:rFonts w:ascii="黑体" w:hAnsi="黑体" w:eastAsia="黑体" w:cs="黑体"/>
                <w:sz w:val="28"/>
                <w:lang w:val="en-US"/>
              </w:rPr>
            </w:pPr>
            <w:r>
              <w:rPr>
                <w:rFonts w:hint="eastAsia" w:ascii="黑体" w:hAnsi="黑体" w:eastAsia="黑体" w:cs="黑体"/>
                <w:sz w:val="28"/>
                <w:lang w:val="en-US"/>
              </w:rPr>
              <w:t>财政金融风险</w:t>
            </w:r>
          </w:p>
        </w:tc>
        <w:tc>
          <w:tcPr>
            <w:tcW w:w="2487" w:type="dxa"/>
          </w:tcPr>
          <w:p>
            <w:pPr>
              <w:pStyle w:val="25"/>
              <w:spacing w:before="84"/>
              <w:ind w:left="105" w:right="97"/>
              <w:rPr>
                <w:rFonts w:ascii="黑体" w:hAnsi="黑体" w:eastAsia="黑体" w:cs="黑体"/>
                <w:sz w:val="28"/>
                <w:lang w:val="en-US"/>
              </w:rPr>
            </w:pPr>
            <w:r>
              <w:rPr>
                <w:rFonts w:hint="eastAsia" w:ascii="黑体" w:hAnsi="黑体" w:eastAsia="黑体" w:cs="黑体"/>
                <w:b/>
                <w:bCs/>
                <w:sz w:val="28"/>
                <w:lang w:val="en-US"/>
              </w:rPr>
              <w:t>0.80</w:t>
            </w:r>
          </w:p>
        </w:tc>
        <w:tc>
          <w:tcPr>
            <w:tcW w:w="1392" w:type="dxa"/>
          </w:tcPr>
          <w:p>
            <w:pPr>
              <w:pStyle w:val="25"/>
              <w:spacing w:before="70"/>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09" w:type="dxa"/>
          </w:tcPr>
          <w:p>
            <w:pPr>
              <w:pStyle w:val="25"/>
              <w:spacing w:before="84"/>
              <w:ind w:left="8"/>
              <w:rPr>
                <w:rFonts w:ascii="Times New Roman"/>
                <w:sz w:val="28"/>
              </w:rPr>
            </w:pPr>
            <w:r>
              <w:rPr>
                <w:rFonts w:ascii="Times New Roman"/>
                <w:sz w:val="28"/>
              </w:rPr>
              <w:t>1</w:t>
            </w:r>
          </w:p>
        </w:tc>
        <w:tc>
          <w:tcPr>
            <w:tcW w:w="4374" w:type="dxa"/>
          </w:tcPr>
          <w:p>
            <w:pPr>
              <w:pStyle w:val="25"/>
              <w:spacing w:before="70"/>
              <w:ind w:left="1043" w:right="1040"/>
              <w:rPr>
                <w:sz w:val="28"/>
              </w:rPr>
            </w:pPr>
            <w:r>
              <w:rPr>
                <w:sz w:val="28"/>
              </w:rPr>
              <w:t>财政承受能力风险</w:t>
            </w:r>
          </w:p>
        </w:tc>
        <w:tc>
          <w:tcPr>
            <w:tcW w:w="2487" w:type="dxa"/>
          </w:tcPr>
          <w:p>
            <w:pPr>
              <w:pStyle w:val="25"/>
              <w:spacing w:before="84"/>
              <w:ind w:left="105" w:right="97"/>
              <w:rPr>
                <w:rFonts w:ascii="Times New Roman"/>
                <w:sz w:val="28"/>
                <w:lang w:val="en-US"/>
              </w:rPr>
            </w:pPr>
            <w:r>
              <w:rPr>
                <w:rFonts w:hint="eastAsia" w:ascii="Times New Roman"/>
                <w:sz w:val="28"/>
                <w:lang w:val="en-US"/>
              </w:rPr>
              <w:t>0.80</w:t>
            </w:r>
          </w:p>
        </w:tc>
        <w:tc>
          <w:tcPr>
            <w:tcW w:w="1392" w:type="dxa"/>
          </w:tcPr>
          <w:p>
            <w:pPr>
              <w:pStyle w:val="25"/>
              <w:spacing w:before="70"/>
              <w:ind w:left="114" w:right="103"/>
              <w:rPr>
                <w:sz w:val="28"/>
              </w:rPr>
            </w:pPr>
            <w:r>
              <w:rPr>
                <w:rFonts w:hint="eastAsia"/>
                <w:sz w:val="28"/>
                <w:lang w:val="en-US"/>
              </w:rPr>
              <w:t>低</w:t>
            </w:r>
            <w:r>
              <w:rPr>
                <w:sz w:val="28"/>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ascii="Times New Roman"/>
                <w:sz w:val="28"/>
              </w:rPr>
              <w:t>2</w:t>
            </w:r>
          </w:p>
        </w:tc>
        <w:tc>
          <w:tcPr>
            <w:tcW w:w="4374" w:type="dxa"/>
          </w:tcPr>
          <w:p>
            <w:pPr>
              <w:pStyle w:val="25"/>
              <w:spacing w:before="68"/>
              <w:ind w:left="1043" w:right="1040"/>
              <w:rPr>
                <w:sz w:val="28"/>
              </w:rPr>
            </w:pPr>
            <w:r>
              <w:rPr>
                <w:sz w:val="28"/>
              </w:rPr>
              <w:t>财政投资效益风险</w:t>
            </w:r>
          </w:p>
        </w:tc>
        <w:tc>
          <w:tcPr>
            <w:tcW w:w="2487" w:type="dxa"/>
          </w:tcPr>
          <w:p>
            <w:pPr>
              <w:pStyle w:val="25"/>
              <w:spacing w:before="81"/>
              <w:ind w:left="105" w:right="97"/>
              <w:rPr>
                <w:rFonts w:ascii="Times New Roman"/>
                <w:sz w:val="28"/>
                <w:lang w:val="en-US"/>
              </w:rPr>
            </w:pPr>
            <w:r>
              <w:rPr>
                <w:rFonts w:hint="eastAsia" w:ascii="Times New Roman"/>
                <w:sz w:val="28"/>
                <w:lang w:val="en-US"/>
              </w:rPr>
              <w:t>0.80</w:t>
            </w:r>
          </w:p>
        </w:tc>
        <w:tc>
          <w:tcPr>
            <w:tcW w:w="1392" w:type="dxa"/>
          </w:tcPr>
          <w:p>
            <w:pPr>
              <w:pStyle w:val="25"/>
              <w:spacing w:before="68"/>
              <w:ind w:left="114" w:right="103"/>
              <w:rPr>
                <w:sz w:val="28"/>
              </w:rPr>
            </w:pPr>
            <w:r>
              <w:rPr>
                <w:rFonts w:hint="eastAsia"/>
                <w:sz w:val="28"/>
                <w:lang w:val="en-US"/>
              </w:rPr>
              <w:t>低</w:t>
            </w:r>
            <w:r>
              <w:rPr>
                <w:sz w:val="28"/>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黑体" w:hAnsi="黑体" w:eastAsia="黑体" w:cs="黑体"/>
                <w:sz w:val="28"/>
                <w:lang w:val="en-US"/>
              </w:rPr>
            </w:pPr>
            <w:r>
              <w:rPr>
                <w:rFonts w:hint="eastAsia" w:ascii="黑体" w:hAnsi="黑体" w:eastAsia="黑体" w:cs="黑体"/>
                <w:sz w:val="28"/>
                <w:lang w:val="en-US"/>
              </w:rPr>
              <w:t>五</w:t>
            </w:r>
          </w:p>
        </w:tc>
        <w:tc>
          <w:tcPr>
            <w:tcW w:w="4374" w:type="dxa"/>
          </w:tcPr>
          <w:p>
            <w:pPr>
              <w:pStyle w:val="25"/>
              <w:spacing w:before="67"/>
              <w:ind w:left="1043" w:right="1037"/>
              <w:rPr>
                <w:rFonts w:ascii="黑体" w:hAnsi="黑体" w:eastAsia="黑体" w:cs="黑体"/>
                <w:sz w:val="28"/>
                <w:lang w:val="en-US"/>
              </w:rPr>
            </w:pPr>
            <w:r>
              <w:rPr>
                <w:rFonts w:hint="eastAsia" w:ascii="黑体" w:hAnsi="黑体" w:eastAsia="黑体" w:cs="黑体"/>
                <w:sz w:val="28"/>
                <w:lang w:val="en-US"/>
              </w:rPr>
              <w:t>舆情风险</w:t>
            </w:r>
          </w:p>
        </w:tc>
        <w:tc>
          <w:tcPr>
            <w:tcW w:w="2487" w:type="dxa"/>
          </w:tcPr>
          <w:p>
            <w:pPr>
              <w:pStyle w:val="25"/>
              <w:spacing w:before="81"/>
              <w:ind w:left="105" w:right="97"/>
              <w:rPr>
                <w:rFonts w:ascii="黑体" w:hAnsi="黑体" w:eastAsia="黑体" w:cs="黑体"/>
                <w:sz w:val="28"/>
                <w:lang w:val="en-US"/>
              </w:rPr>
            </w:pPr>
            <w:r>
              <w:rPr>
                <w:rFonts w:hint="eastAsia" w:ascii="黑体" w:hAnsi="黑体" w:eastAsia="黑体" w:cs="黑体"/>
                <w:b/>
                <w:bCs/>
                <w:sz w:val="28"/>
                <w:lang w:val="en-US"/>
              </w:rPr>
              <w:t>0.80</w:t>
            </w:r>
          </w:p>
        </w:tc>
        <w:tc>
          <w:tcPr>
            <w:tcW w:w="1392" w:type="dxa"/>
          </w:tcPr>
          <w:p>
            <w:pPr>
              <w:pStyle w:val="25"/>
              <w:spacing w:before="67"/>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lang w:val="en-US"/>
              </w:rPr>
            </w:pPr>
            <w:r>
              <w:rPr>
                <w:rFonts w:hint="eastAsia" w:ascii="Times New Roman"/>
                <w:sz w:val="28"/>
                <w:lang w:val="en-US"/>
              </w:rPr>
              <w:t>1</w:t>
            </w:r>
          </w:p>
        </w:tc>
        <w:tc>
          <w:tcPr>
            <w:tcW w:w="4374" w:type="dxa"/>
          </w:tcPr>
          <w:p>
            <w:pPr>
              <w:pStyle w:val="25"/>
              <w:spacing w:before="67"/>
              <w:ind w:left="1043" w:right="1037"/>
              <w:rPr>
                <w:sz w:val="28"/>
                <w:lang w:val="en-US"/>
              </w:rPr>
            </w:pPr>
            <w:r>
              <w:rPr>
                <w:rFonts w:hint="eastAsia"/>
                <w:sz w:val="28"/>
                <w:lang w:val="en-US"/>
              </w:rPr>
              <w:t>公众参与风险</w:t>
            </w:r>
          </w:p>
        </w:tc>
        <w:tc>
          <w:tcPr>
            <w:tcW w:w="2487" w:type="dxa"/>
          </w:tcPr>
          <w:p>
            <w:pPr>
              <w:pStyle w:val="25"/>
              <w:spacing w:before="81"/>
              <w:ind w:left="105" w:right="97"/>
              <w:rPr>
                <w:rFonts w:ascii="Times New Roman"/>
                <w:sz w:val="28"/>
                <w:lang w:val="en-US"/>
              </w:rPr>
            </w:pPr>
            <w:r>
              <w:rPr>
                <w:rFonts w:hint="eastAsia" w:ascii="Times New Roman"/>
                <w:sz w:val="28"/>
                <w:lang w:val="en-US"/>
              </w:rPr>
              <w:t>0.60</w:t>
            </w:r>
          </w:p>
        </w:tc>
        <w:tc>
          <w:tcPr>
            <w:tcW w:w="1392" w:type="dxa"/>
          </w:tcPr>
          <w:p>
            <w:pPr>
              <w:pStyle w:val="25"/>
              <w:spacing w:before="67"/>
              <w:ind w:left="114" w:right="103"/>
              <w:rPr>
                <w:sz w:val="28"/>
                <w:lang w:val="en-US"/>
              </w:rPr>
            </w:pPr>
            <w:r>
              <w:rPr>
                <w:rFonts w:hint="eastAsia"/>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hint="eastAsia" w:ascii="Times New Roman"/>
                <w:sz w:val="28"/>
                <w:lang w:val="en-US"/>
              </w:rPr>
              <w:t>2</w:t>
            </w:r>
          </w:p>
        </w:tc>
        <w:tc>
          <w:tcPr>
            <w:tcW w:w="4374" w:type="dxa"/>
          </w:tcPr>
          <w:p>
            <w:pPr>
              <w:pStyle w:val="25"/>
              <w:spacing w:before="67"/>
              <w:ind w:left="1043" w:right="1037"/>
              <w:rPr>
                <w:sz w:val="28"/>
              </w:rPr>
            </w:pPr>
            <w:r>
              <w:rPr>
                <w:sz w:val="28"/>
              </w:rPr>
              <w:t>宣传引导风险</w:t>
            </w:r>
          </w:p>
        </w:tc>
        <w:tc>
          <w:tcPr>
            <w:tcW w:w="2487" w:type="dxa"/>
          </w:tcPr>
          <w:p>
            <w:pPr>
              <w:pStyle w:val="25"/>
              <w:spacing w:before="81"/>
              <w:ind w:left="105" w:right="97"/>
              <w:rPr>
                <w:rFonts w:ascii="Times New Roman"/>
                <w:sz w:val="28"/>
                <w:lang w:val="en-US"/>
              </w:rPr>
            </w:pPr>
            <w:r>
              <w:rPr>
                <w:rFonts w:hint="eastAsia" w:ascii="Times New Roman"/>
                <w:sz w:val="28"/>
                <w:lang w:val="en-US"/>
              </w:rPr>
              <w:t>0.80</w:t>
            </w:r>
          </w:p>
        </w:tc>
        <w:tc>
          <w:tcPr>
            <w:tcW w:w="1392" w:type="dxa"/>
          </w:tcPr>
          <w:p>
            <w:pPr>
              <w:pStyle w:val="25"/>
              <w:spacing w:before="67"/>
              <w:ind w:left="114" w:right="103"/>
              <w:rPr>
                <w:sz w:val="28"/>
              </w:rPr>
            </w:pPr>
            <w:r>
              <w:rPr>
                <w:rFonts w:hint="eastAsia"/>
                <w:sz w:val="28"/>
                <w:lang w:eastAsia="zh-CN"/>
              </w:rPr>
              <w:t>低</w:t>
            </w:r>
            <w:r>
              <w:rPr>
                <w:sz w:val="28"/>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hint="eastAsia" w:ascii="Times New Roman"/>
                <w:sz w:val="28"/>
                <w:lang w:val="en-US"/>
              </w:rPr>
              <w:t>3</w:t>
            </w:r>
          </w:p>
        </w:tc>
        <w:tc>
          <w:tcPr>
            <w:tcW w:w="4374" w:type="dxa"/>
          </w:tcPr>
          <w:p>
            <w:pPr>
              <w:pStyle w:val="25"/>
              <w:spacing w:before="67"/>
              <w:ind w:left="1043" w:right="1037"/>
              <w:rPr>
                <w:sz w:val="28"/>
                <w:highlight w:val="none"/>
              </w:rPr>
            </w:pPr>
            <w:r>
              <w:rPr>
                <w:sz w:val="28"/>
                <w:highlight w:val="none"/>
              </w:rPr>
              <w:t>舆情应对风险</w:t>
            </w:r>
          </w:p>
        </w:tc>
        <w:tc>
          <w:tcPr>
            <w:tcW w:w="2487" w:type="dxa"/>
          </w:tcPr>
          <w:p>
            <w:pPr>
              <w:pStyle w:val="25"/>
              <w:spacing w:before="81"/>
              <w:ind w:left="105" w:right="97"/>
              <w:rPr>
                <w:rFonts w:hint="default" w:ascii="Times New Roman" w:eastAsia="宋体"/>
                <w:sz w:val="28"/>
                <w:highlight w:val="none"/>
                <w:lang w:val="en-US" w:eastAsia="zh-CN"/>
              </w:rPr>
            </w:pPr>
            <w:r>
              <w:rPr>
                <w:rFonts w:hint="eastAsia" w:ascii="Times New Roman"/>
                <w:sz w:val="28"/>
                <w:highlight w:val="none"/>
                <w:lang w:val="en-US" w:eastAsia="zh-CN"/>
              </w:rPr>
              <w:t>1.0</w:t>
            </w:r>
          </w:p>
        </w:tc>
        <w:tc>
          <w:tcPr>
            <w:tcW w:w="1392" w:type="dxa"/>
          </w:tcPr>
          <w:p>
            <w:pPr>
              <w:pStyle w:val="25"/>
              <w:spacing w:before="67"/>
              <w:ind w:left="114" w:right="103"/>
              <w:rPr>
                <w:sz w:val="28"/>
                <w:highlight w:val="none"/>
              </w:rPr>
            </w:pPr>
            <w:r>
              <w:rPr>
                <w:rFonts w:hint="eastAsia"/>
                <w:sz w:val="28"/>
                <w:highlight w:val="none"/>
              </w:rPr>
              <w:t>中</w:t>
            </w:r>
            <w:r>
              <w:rPr>
                <w:sz w:val="28"/>
                <w:highlight w:val="none"/>
              </w:rPr>
              <w:t>风险</w:t>
            </w:r>
          </w:p>
        </w:tc>
      </w:tr>
    </w:tbl>
    <w:p>
      <w:pPr>
        <w:pStyle w:val="7"/>
        <w:autoSpaceDE w:val="0"/>
        <w:autoSpaceDN w:val="0"/>
        <w:spacing w:line="560" w:lineRule="exact"/>
        <w:ind w:right="272"/>
        <w:rPr>
          <w:rFonts w:ascii="仿宋_GB2312" w:hAnsi="仿宋_GB2312" w:eastAsia="仿宋_GB2312" w:cs="仿宋_GB2312"/>
          <w:color w:val="222222"/>
          <w:shd w:val="clear" w:color="auto" w:fill="FFFFFF"/>
          <w:lang w:val="en-US" w:bidi="ar-SA"/>
        </w:rPr>
      </w:pP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参照表5-2中风险程度评判标准，舆情风险三项中，舆情应对风险为中风险，公众参与风险、宣传引导风险为低风险，因此舆情风险为低风险；又因其余单风险因素为低风险，所以社会稳定风险、生态环境风险、公共安全风险、财政金融风险均为低风险。根据表5-2中风险指数评判标准，社会稳定风险的综合风险指数是0.6为低风险，生态环境风险的综合风险指数是0.5为低风险，公共安全风险的综合风险指数是0.6为低风险，财政金融风险的综合风险指数是0.8为低风险，舆情风险的综合风险指数是0.8为低风险。</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根据一级指标风险等级以及表5-2中风险程度评判标准，确定《实施</w:t>
      </w:r>
      <w:r>
        <w:rPr>
          <w:rFonts w:hint="eastAsia" w:ascii="仿宋_GB2312" w:hAnsi="仿宋_GB2312" w:eastAsia="仿宋_GB2312" w:cs="仿宋_GB2312"/>
          <w:sz w:val="32"/>
          <w:szCs w:val="32"/>
          <w:lang w:val="en-US" w:eastAsia="zh-CN" w:bidi="ar"/>
        </w:rPr>
        <w:t>意见</w:t>
      </w:r>
      <w:r>
        <w:rPr>
          <w:rFonts w:hint="eastAsia" w:ascii="仿宋_GB2312" w:hAnsi="仿宋_GB2312" w:eastAsia="仿宋_GB2312" w:cs="仿宋_GB2312"/>
          <w:sz w:val="32"/>
          <w:szCs w:val="32"/>
          <w:lang w:bidi="ar"/>
        </w:rPr>
        <w:t>》整体风险等级为低风险。</w:t>
      </w: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p>
    <w:p>
      <w:pPr>
        <w:adjustRightInd w:val="0"/>
        <w:snapToGrid w:val="0"/>
        <w:spacing w:line="360" w:lineRule="auto"/>
        <w:rPr>
          <w:rFonts w:ascii="方正小标宋_GBK" w:hAnsi="方正小标宋_GBK" w:eastAsia="方正小标宋_GBK" w:cs="方正小标宋_GBK"/>
          <w:sz w:val="44"/>
          <w:szCs w:val="44"/>
        </w:rPr>
      </w:pPr>
    </w:p>
    <w:p>
      <w:pPr>
        <w:adjustRightInd w:val="0"/>
        <w:snapToGrid w:val="0"/>
        <w:spacing w:line="360" w:lineRule="auto"/>
        <w:rPr>
          <w:rFonts w:ascii="方正小标宋_GBK" w:hAnsi="方正小标宋_GBK" w:eastAsia="方正小标宋_GBK" w:cs="方正小标宋_GBK"/>
          <w:sz w:val="44"/>
          <w:szCs w:val="44"/>
        </w:rPr>
      </w:pPr>
    </w:p>
    <w:p>
      <w:pPr>
        <w:adjustRightInd w:val="0"/>
        <w:snapToGrid w:val="0"/>
        <w:spacing w:line="360" w:lineRule="auto"/>
        <w:jc w:val="center"/>
        <w:outlineLvl w:val="0"/>
        <w:rPr>
          <w:rFonts w:ascii="方正小标宋_GBK" w:hAnsi="方正小标宋_GBK" w:eastAsia="方正小标宋_GBK" w:cs="方正小标宋_GBK"/>
          <w:sz w:val="44"/>
          <w:szCs w:val="44"/>
        </w:rPr>
      </w:pPr>
      <w:bookmarkStart w:id="35" w:name="_Toc29765"/>
      <w:bookmarkStart w:id="36" w:name="_Toc32723"/>
      <w:r>
        <w:rPr>
          <w:rFonts w:hint="eastAsia" w:ascii="方正小标宋_GBK" w:hAnsi="方正小标宋_GBK" w:eastAsia="方正小标宋_GBK" w:cs="方正小标宋_GBK"/>
          <w:sz w:val="44"/>
          <w:szCs w:val="44"/>
        </w:rPr>
        <w:t>第六章 风险防范化解措施</w:t>
      </w:r>
      <w:bookmarkEnd w:id="35"/>
      <w:bookmarkEnd w:id="36"/>
    </w:p>
    <w:p>
      <w:pPr>
        <w:spacing w:line="560" w:lineRule="exact"/>
        <w:ind w:firstLine="640" w:firstLineChars="200"/>
        <w:rPr>
          <w:rFonts w:ascii="楷体" w:hAnsi="楷体" w:eastAsia="楷体" w:cs="楷体"/>
          <w:sz w:val="32"/>
          <w:szCs w:val="32"/>
        </w:rPr>
      </w:pPr>
      <w:r>
        <w:rPr>
          <w:rFonts w:hint="eastAsia" w:ascii="仿宋_GB2312" w:hAnsi="仿宋" w:eastAsia="仿宋_GB2312" w:cs="Times New Roman"/>
          <w:sz w:val="32"/>
          <w:szCs w:val="32"/>
        </w:rPr>
        <w:t>为了进一步降低《实施</w:t>
      </w:r>
      <w:r>
        <w:rPr>
          <w:rFonts w:hint="eastAsia" w:ascii="仿宋_GB2312" w:hAnsi="仿宋" w:eastAsia="仿宋_GB2312" w:cs="Times New Roman"/>
          <w:sz w:val="32"/>
          <w:szCs w:val="32"/>
          <w:lang w:val="en-US" w:eastAsia="zh-CN"/>
        </w:rPr>
        <w:t>意见</w:t>
      </w:r>
      <w:r>
        <w:rPr>
          <w:rFonts w:hint="eastAsia" w:ascii="仿宋_GB2312" w:hAnsi="仿宋" w:eastAsia="仿宋_GB2312" w:cs="Times New Roman"/>
          <w:sz w:val="32"/>
          <w:szCs w:val="32"/>
        </w:rPr>
        <w:t>》潜在风险，风险评估小组制定了如下风险防范化解措施：</w:t>
      </w:r>
    </w:p>
    <w:p>
      <w:pPr>
        <w:spacing w:line="560" w:lineRule="exact"/>
        <w:ind w:firstLine="640" w:firstLineChars="200"/>
        <w:outlineLvl w:val="1"/>
        <w:rPr>
          <w:rFonts w:ascii="黑体" w:hAnsi="黑体" w:eastAsia="黑体" w:cs="黑体"/>
          <w:sz w:val="32"/>
          <w:szCs w:val="32"/>
        </w:rPr>
      </w:pPr>
      <w:bookmarkStart w:id="37" w:name="_Toc32128"/>
      <w:bookmarkStart w:id="38" w:name="_Toc25839"/>
      <w:r>
        <w:rPr>
          <w:rFonts w:hint="eastAsia" w:ascii="黑体" w:hAnsi="黑体" w:eastAsia="黑体" w:cs="黑体"/>
          <w:sz w:val="32"/>
          <w:szCs w:val="32"/>
        </w:rPr>
        <w:t>一、社会稳定风险</w:t>
      </w:r>
      <w:bookmarkEnd w:id="37"/>
      <w:bookmarkEnd w:id="38"/>
    </w:p>
    <w:p>
      <w:pPr>
        <w:adjustRightInd w:val="0"/>
        <w:snapToGrid w:val="0"/>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建立社会稳定风险动态监控机制和应急处置机制，健全意见吸收渠道，对《实施</w:t>
      </w:r>
      <w:r>
        <w:rPr>
          <w:rFonts w:hint="eastAsia" w:ascii="仿宋_GB2312" w:hAnsi="仿宋" w:eastAsia="仿宋_GB2312" w:cs="Times New Roman"/>
          <w:sz w:val="32"/>
          <w:szCs w:val="32"/>
          <w:lang w:val="en-US" w:eastAsia="zh-CN"/>
        </w:rPr>
        <w:t>意见</w:t>
      </w:r>
      <w:r>
        <w:rPr>
          <w:rFonts w:hint="eastAsia" w:ascii="仿宋_GB2312" w:hAnsi="仿宋" w:eastAsia="仿宋_GB2312" w:cs="Times New Roman"/>
          <w:sz w:val="32"/>
          <w:szCs w:val="32"/>
        </w:rPr>
        <w:t>》社会稳定风险进行全程管控和应急处置。《实施</w:t>
      </w:r>
      <w:r>
        <w:rPr>
          <w:rFonts w:hint="eastAsia" w:ascii="仿宋_GB2312" w:hAnsi="仿宋" w:eastAsia="仿宋_GB2312" w:cs="Times New Roman"/>
          <w:sz w:val="32"/>
          <w:szCs w:val="32"/>
          <w:lang w:val="en-US" w:eastAsia="zh-CN"/>
        </w:rPr>
        <w:t>意见</w:t>
      </w:r>
      <w:r>
        <w:rPr>
          <w:rFonts w:hint="eastAsia" w:ascii="仿宋_GB2312" w:hAnsi="仿宋" w:eastAsia="仿宋_GB2312" w:cs="Times New Roman"/>
          <w:sz w:val="32"/>
          <w:szCs w:val="32"/>
        </w:rPr>
        <w:t>》印发后，应建立专门的群众疑问建议反馈渠道，同时做好解释工作。高度重视群众聚焦问题，重点解释群众反映意见较多的事项，坚持和发展新时代“枫桥经验”，畅通和规范群众诉求表达通道。同时，根据群众意见要及时按程序调整相关内容。</w:t>
      </w:r>
    </w:p>
    <w:p>
      <w:pPr>
        <w:spacing w:line="560" w:lineRule="exact"/>
        <w:ind w:firstLine="640" w:firstLineChars="200"/>
        <w:outlineLvl w:val="1"/>
        <w:rPr>
          <w:rFonts w:ascii="黑体" w:hAnsi="黑体" w:eastAsia="黑体" w:cs="黑体"/>
          <w:sz w:val="32"/>
          <w:szCs w:val="32"/>
        </w:rPr>
      </w:pPr>
      <w:bookmarkStart w:id="39" w:name="_Toc14559"/>
      <w:bookmarkStart w:id="40" w:name="_Toc4922"/>
      <w:r>
        <w:rPr>
          <w:rFonts w:hint="eastAsia" w:ascii="黑体" w:hAnsi="黑体" w:eastAsia="黑体" w:cs="黑体"/>
          <w:sz w:val="32"/>
          <w:szCs w:val="32"/>
        </w:rPr>
        <w:t>二、公共安全风险</w:t>
      </w:r>
      <w:bookmarkEnd w:id="39"/>
      <w:bookmarkEnd w:id="40"/>
    </w:p>
    <w:p>
      <w:pPr>
        <w:pStyle w:val="6"/>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全面提高公共安全风险管理水平，坚持“一岗双责、失职追责”，强化主体责任意识，重视用电安全、网络安全、金融安全、信息安全等，坚决遏制安全风险的发生。加强对相关工作人员的管理和培训，确保工作人员规范操作，有序执行。防止因技术操作问题引发安全风险事件，对办事群众和企业造成不利影响。强化日常巡查和监督，对违规操作的人员提出批评教育。</w:t>
      </w:r>
    </w:p>
    <w:p>
      <w:pPr>
        <w:spacing w:line="560" w:lineRule="exact"/>
        <w:ind w:firstLine="640" w:firstLineChars="200"/>
        <w:outlineLvl w:val="1"/>
        <w:rPr>
          <w:rFonts w:ascii="黑体" w:hAnsi="黑体" w:eastAsia="黑体" w:cs="黑体"/>
          <w:sz w:val="32"/>
          <w:szCs w:val="32"/>
        </w:rPr>
      </w:pPr>
      <w:bookmarkStart w:id="41" w:name="_Toc17905"/>
      <w:bookmarkStart w:id="42" w:name="_Toc14715"/>
      <w:r>
        <w:rPr>
          <w:rFonts w:hint="eastAsia" w:ascii="黑体" w:hAnsi="黑体" w:eastAsia="黑体" w:cs="黑体"/>
          <w:sz w:val="32"/>
          <w:szCs w:val="32"/>
        </w:rPr>
        <w:t>三、生态环境风险</w:t>
      </w:r>
      <w:bookmarkEnd w:id="41"/>
      <w:bookmarkEnd w:id="42"/>
    </w:p>
    <w:p>
      <w:pPr>
        <w:adjustRightInd w:val="0"/>
        <w:snapToGrid w:val="0"/>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养老</w:t>
      </w:r>
      <w:r>
        <w:rPr>
          <w:rFonts w:ascii="仿宋_GB2312" w:hAnsi="仿宋" w:eastAsia="仿宋_GB2312" w:cs="Times New Roman"/>
          <w:sz w:val="32"/>
          <w:szCs w:val="32"/>
        </w:rPr>
        <w:t>服务设施</w:t>
      </w:r>
      <w:r>
        <w:rPr>
          <w:rFonts w:hint="eastAsia" w:ascii="仿宋_GB2312" w:hAnsi="仿宋" w:eastAsia="仿宋_GB2312" w:cs="Times New Roman"/>
          <w:sz w:val="32"/>
          <w:szCs w:val="32"/>
        </w:rPr>
        <w:t>工程等建设期间，相关部门应当加强对噪声、固废、振动等污染的控制，尽量采用低噪声、低振动污染的技术工艺和设备。高度重视保护附近人居环境，加强与街道等基层组织和周边居民的沟通，建立定期联系机制，争取得到谅解，降低周边居民因环境影响引发的不满情绪。</w:t>
      </w:r>
    </w:p>
    <w:p>
      <w:pPr>
        <w:spacing w:line="560" w:lineRule="exact"/>
        <w:ind w:firstLine="640" w:firstLineChars="200"/>
        <w:outlineLvl w:val="1"/>
        <w:rPr>
          <w:rFonts w:ascii="黑体" w:hAnsi="黑体" w:eastAsia="黑体" w:cs="黑体"/>
          <w:sz w:val="32"/>
          <w:szCs w:val="32"/>
        </w:rPr>
      </w:pPr>
      <w:bookmarkStart w:id="43" w:name="_Toc3081"/>
      <w:bookmarkStart w:id="44" w:name="_Toc23900"/>
      <w:r>
        <w:rPr>
          <w:rFonts w:hint="eastAsia" w:ascii="黑体" w:hAnsi="黑体" w:eastAsia="黑体" w:cs="黑体"/>
          <w:sz w:val="32"/>
          <w:szCs w:val="32"/>
        </w:rPr>
        <w:t>四、财政金融风险</w:t>
      </w:r>
      <w:bookmarkEnd w:id="43"/>
      <w:bookmarkEnd w:id="44"/>
    </w:p>
    <w:p>
      <w:pPr>
        <w:spacing w:line="560" w:lineRule="exact"/>
        <w:rPr>
          <w:rFonts w:ascii="楷体" w:hAnsi="楷体" w:eastAsia="楷体" w:cs="楷体"/>
          <w:sz w:val="32"/>
          <w:szCs w:val="32"/>
        </w:rPr>
      </w:pPr>
      <w:r>
        <w:rPr>
          <w:rFonts w:hint="eastAsia" w:ascii="楷体" w:hAnsi="楷体" w:eastAsia="楷体" w:cs="楷体"/>
          <w:sz w:val="32"/>
          <w:szCs w:val="32"/>
        </w:rPr>
        <w:t xml:space="preserve">   </w:t>
      </w:r>
      <w:r>
        <w:rPr>
          <w:rFonts w:hint="eastAsia" w:ascii="仿宋_GB2312" w:hAnsi="仿宋" w:eastAsia="仿宋_GB2312" w:cs="Times New Roman"/>
          <w:sz w:val="32"/>
          <w:szCs w:val="32"/>
        </w:rPr>
        <w:t xml:space="preserve"> 强化财政预算与《实施</w:t>
      </w:r>
      <w:r>
        <w:rPr>
          <w:rFonts w:hint="eastAsia" w:ascii="仿宋_GB2312" w:hAnsi="仿宋" w:eastAsia="仿宋_GB2312" w:cs="Times New Roman"/>
          <w:sz w:val="32"/>
          <w:szCs w:val="32"/>
          <w:lang w:val="en-US" w:eastAsia="zh-CN"/>
        </w:rPr>
        <w:t>意见</w:t>
      </w:r>
      <w:r>
        <w:rPr>
          <w:rFonts w:hint="eastAsia" w:ascii="仿宋_GB2312" w:hAnsi="仿宋" w:eastAsia="仿宋_GB2312" w:cs="Times New Roman"/>
          <w:sz w:val="32"/>
          <w:szCs w:val="32"/>
        </w:rPr>
        <w:t>》实施的有效衔接，明晰政府支出责任。加强财政预算管理，做好资金年度使用计划，合理安排支出规模和结构。推进财政支出标准化，建立财政支付风险预警机制，定期进行财政承受能力分析、论证，加强财政专项资金的统一管理。</w:t>
      </w:r>
    </w:p>
    <w:p>
      <w:pPr>
        <w:spacing w:line="560" w:lineRule="exact"/>
        <w:ind w:firstLine="640" w:firstLineChars="200"/>
        <w:outlineLvl w:val="1"/>
        <w:rPr>
          <w:rFonts w:ascii="黑体" w:hAnsi="黑体" w:eastAsia="黑体" w:cs="黑体"/>
          <w:sz w:val="32"/>
          <w:szCs w:val="32"/>
        </w:rPr>
      </w:pPr>
      <w:bookmarkStart w:id="45" w:name="_Toc1789"/>
      <w:bookmarkStart w:id="46" w:name="_Toc6668"/>
      <w:r>
        <w:rPr>
          <w:rFonts w:hint="eastAsia" w:ascii="黑体" w:hAnsi="黑体" w:eastAsia="黑体" w:cs="黑体"/>
          <w:sz w:val="32"/>
          <w:szCs w:val="32"/>
        </w:rPr>
        <w:t>五、舆情风险</w:t>
      </w:r>
      <w:bookmarkEnd w:id="45"/>
      <w:bookmarkEnd w:id="46"/>
    </w:p>
    <w:p>
      <w:pPr>
        <w:adjustRightInd w:val="0"/>
        <w:snapToGrid w:val="0"/>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建立有效的舆情引导机制，完善舆情监测、预警、研判机制。充分利用广播、电视、微信</w:t>
      </w:r>
      <w:r>
        <w:rPr>
          <w:rFonts w:ascii="仿宋_GB2312" w:hAnsi="仿宋" w:eastAsia="仿宋_GB2312" w:cs="Times New Roman"/>
          <w:sz w:val="32"/>
          <w:szCs w:val="32"/>
        </w:rPr>
        <w:t>公众号、</w:t>
      </w:r>
      <w:r>
        <w:rPr>
          <w:rFonts w:hint="eastAsia" w:ascii="仿宋_GB2312" w:hAnsi="仿宋" w:eastAsia="仿宋_GB2312" w:cs="Times New Roman"/>
          <w:sz w:val="32"/>
          <w:szCs w:val="32"/>
        </w:rPr>
        <w:t>主流网站、报纸杂志等各类媒体和宣传平台，加强《实施</w:t>
      </w:r>
      <w:r>
        <w:rPr>
          <w:rFonts w:hint="eastAsia" w:ascii="仿宋_GB2312" w:hAnsi="仿宋" w:eastAsia="仿宋_GB2312" w:cs="Times New Roman"/>
          <w:sz w:val="32"/>
          <w:szCs w:val="32"/>
          <w:lang w:val="en-US" w:eastAsia="zh-CN"/>
        </w:rPr>
        <w:t>意见</w:t>
      </w:r>
      <w:r>
        <w:rPr>
          <w:rFonts w:hint="eastAsia" w:ascii="仿宋_GB2312" w:hAnsi="仿宋" w:eastAsia="仿宋_GB2312" w:cs="Times New Roman"/>
          <w:sz w:val="32"/>
          <w:szCs w:val="32"/>
        </w:rPr>
        <w:t>》的正面宣传，进行主动宣传引导；建立健全舆情监控搜集机制和舆情监控应急处理机制，及时掌握社会动态，监控媒体舆情并作出恰当的应对。相关部门要与宣传部门分工配合，密切联系，确保回应信息及时、准确、一致。</w:t>
      </w:r>
    </w:p>
    <w:p>
      <w:pPr>
        <w:adjustRightInd w:val="0"/>
        <w:snapToGrid w:val="0"/>
        <w:spacing w:line="560" w:lineRule="exact"/>
        <w:ind w:firstLine="640" w:firstLineChars="200"/>
        <w:rPr>
          <w:rFonts w:ascii="仿宋_GB2312" w:hAnsi="仿宋" w:eastAsia="仿宋_GB2312" w:cs="Times New Roman"/>
          <w:sz w:val="32"/>
          <w:szCs w:val="32"/>
        </w:rPr>
      </w:pPr>
    </w:p>
    <w:p>
      <w:pPr>
        <w:adjustRightInd w:val="0"/>
        <w:snapToGrid w:val="0"/>
        <w:spacing w:line="560" w:lineRule="exact"/>
        <w:ind w:firstLine="640" w:firstLineChars="200"/>
        <w:rPr>
          <w:rFonts w:ascii="仿宋_GB2312" w:hAnsi="仿宋" w:eastAsia="仿宋_GB2312" w:cs="Times New Roman"/>
          <w:sz w:val="32"/>
          <w:szCs w:val="32"/>
        </w:rPr>
      </w:pPr>
    </w:p>
    <w:p>
      <w:pPr>
        <w:adjustRightInd w:val="0"/>
        <w:snapToGrid w:val="0"/>
        <w:spacing w:line="560" w:lineRule="exact"/>
        <w:ind w:firstLine="640" w:firstLineChars="200"/>
        <w:rPr>
          <w:rFonts w:ascii="仿宋_GB2312" w:hAnsi="仿宋" w:eastAsia="仿宋_GB2312" w:cs="Times New Roman"/>
          <w:sz w:val="32"/>
          <w:szCs w:val="32"/>
        </w:rPr>
      </w:pPr>
    </w:p>
    <w:p>
      <w:pPr>
        <w:adjustRightInd w:val="0"/>
        <w:snapToGrid w:val="0"/>
        <w:spacing w:line="560" w:lineRule="exact"/>
        <w:ind w:firstLine="640" w:firstLineChars="200"/>
        <w:rPr>
          <w:rFonts w:ascii="仿宋_GB2312" w:hAnsi="仿宋" w:eastAsia="仿宋_GB2312" w:cs="Times New Roman"/>
          <w:sz w:val="32"/>
          <w:szCs w:val="32"/>
        </w:rPr>
      </w:pPr>
    </w:p>
    <w:p>
      <w:pPr>
        <w:adjustRightInd w:val="0"/>
        <w:snapToGrid w:val="0"/>
        <w:spacing w:line="560" w:lineRule="exact"/>
        <w:ind w:firstLine="640" w:firstLineChars="200"/>
        <w:rPr>
          <w:rFonts w:ascii="仿宋_GB2312" w:hAnsi="仿宋" w:eastAsia="仿宋_GB2312" w:cs="Times New Roman"/>
          <w:sz w:val="32"/>
          <w:szCs w:val="32"/>
        </w:rPr>
      </w:pPr>
    </w:p>
    <w:p>
      <w:pPr>
        <w:adjustRightInd w:val="0"/>
        <w:snapToGrid w:val="0"/>
        <w:spacing w:line="560" w:lineRule="exact"/>
        <w:ind w:firstLine="640" w:firstLineChars="200"/>
        <w:rPr>
          <w:rFonts w:ascii="仿宋_GB2312" w:hAnsi="仿宋" w:eastAsia="仿宋_GB2312" w:cs="Times New Roman"/>
          <w:sz w:val="32"/>
          <w:szCs w:val="32"/>
        </w:rPr>
      </w:pPr>
    </w:p>
    <w:p>
      <w:pPr>
        <w:adjustRightInd w:val="0"/>
        <w:snapToGrid w:val="0"/>
        <w:spacing w:line="560" w:lineRule="exact"/>
        <w:rPr>
          <w:rFonts w:ascii="仿宋_GB2312" w:hAnsi="仿宋" w:eastAsia="仿宋_GB2312" w:cs="Times New Roman"/>
          <w:sz w:val="32"/>
          <w:szCs w:val="32"/>
        </w:rPr>
      </w:pPr>
    </w:p>
    <w:p>
      <w:pPr>
        <w:widowControl/>
        <w:jc w:val="left"/>
        <w:rPr>
          <w:rFonts w:ascii="仿宋_GB2312" w:hAnsi="仿宋" w:eastAsia="仿宋_GB2312" w:cs="Times New Roman"/>
          <w:sz w:val="32"/>
          <w:szCs w:val="32"/>
        </w:rPr>
      </w:pPr>
      <w:r>
        <w:rPr>
          <w:rFonts w:ascii="仿宋_GB2312" w:hAnsi="仿宋" w:eastAsia="仿宋_GB2312" w:cs="Times New Roman"/>
          <w:sz w:val="32"/>
          <w:szCs w:val="32"/>
        </w:rPr>
        <w:br w:type="page"/>
      </w:r>
    </w:p>
    <w:p>
      <w:pPr>
        <w:adjustRightInd w:val="0"/>
        <w:snapToGrid w:val="0"/>
        <w:spacing w:line="360" w:lineRule="auto"/>
        <w:jc w:val="center"/>
        <w:outlineLvl w:val="0"/>
        <w:rPr>
          <w:rFonts w:ascii="方正小标宋_GBK" w:hAnsi="方正小标宋_GBK" w:eastAsia="方正小标宋_GBK" w:cs="方正小标宋_GBK"/>
          <w:sz w:val="44"/>
          <w:szCs w:val="44"/>
        </w:rPr>
      </w:pPr>
      <w:bookmarkStart w:id="47" w:name="_Toc32450"/>
      <w:bookmarkStart w:id="48" w:name="_Toc5777"/>
      <w:r>
        <w:rPr>
          <w:rFonts w:hint="eastAsia" w:ascii="方正小标宋_GBK" w:hAnsi="方正小标宋_GBK" w:eastAsia="方正小标宋_GBK" w:cs="方正小标宋_GBK"/>
          <w:sz w:val="44"/>
          <w:szCs w:val="44"/>
        </w:rPr>
        <w:t>第七章 措施落实后风险等级预判</w:t>
      </w:r>
      <w:bookmarkEnd w:id="47"/>
      <w:bookmarkEnd w:id="48"/>
    </w:p>
    <w:p>
      <w:pPr>
        <w:adjustRightInd w:val="0"/>
        <w:snapToGrid w:val="0"/>
        <w:spacing w:line="560" w:lineRule="exact"/>
        <w:ind w:firstLine="640"/>
        <w:rPr>
          <w:rFonts w:ascii="仿宋_GB2312" w:hAnsi="仿宋" w:eastAsia="仿宋_GB2312" w:cs="Times New Roman"/>
          <w:sz w:val="32"/>
          <w:szCs w:val="32"/>
        </w:rPr>
      </w:pPr>
      <w:r>
        <w:rPr>
          <w:rFonts w:hint="eastAsia" w:ascii="仿宋_GB2312" w:hAnsi="仿宋" w:eastAsia="仿宋_GB2312" w:cs="Times New Roman"/>
          <w:sz w:val="32"/>
          <w:szCs w:val="32"/>
        </w:rPr>
        <w:t>根据第六章提出的风险防范和化解措施，风险评估组对《实施</w:t>
      </w:r>
      <w:r>
        <w:rPr>
          <w:rFonts w:hint="eastAsia" w:ascii="仿宋_GB2312" w:hAnsi="仿宋" w:eastAsia="仿宋_GB2312" w:cs="Times New Roman"/>
          <w:sz w:val="32"/>
          <w:szCs w:val="32"/>
          <w:lang w:val="en-US" w:eastAsia="zh-CN"/>
        </w:rPr>
        <w:t>意见</w:t>
      </w:r>
      <w:r>
        <w:rPr>
          <w:rFonts w:hint="eastAsia" w:ascii="仿宋_GB2312" w:hAnsi="仿宋" w:eastAsia="仿宋_GB2312" w:cs="Times New Roman"/>
          <w:sz w:val="32"/>
          <w:szCs w:val="32"/>
        </w:rPr>
        <w:t>》落实相关风险防范和措施后的风险等级进行了预判。经过对估计结果进行赋值、计算，得到措施落实后的风险评估结果表（表7-1），各项风险因素均为低风险。</w:t>
      </w:r>
    </w:p>
    <w:p>
      <w:pPr>
        <w:adjustRightInd w:val="0"/>
        <w:snapToGrid w:val="0"/>
        <w:spacing w:line="560" w:lineRule="exact"/>
        <w:jc w:val="center"/>
        <w:rPr>
          <w:rFonts w:ascii="黑体" w:hAnsi="黑体" w:eastAsia="黑体" w:cs="黑体"/>
          <w:sz w:val="28"/>
          <w:szCs w:val="22"/>
          <w:lang w:bidi="zh-CN"/>
        </w:rPr>
      </w:pPr>
      <w:r>
        <w:rPr>
          <w:rFonts w:hint="eastAsia" w:ascii="黑体" w:hAnsi="黑体" w:eastAsia="黑体" w:cs="黑体"/>
          <w:sz w:val="28"/>
          <w:szCs w:val="22"/>
          <w:lang w:bidi="zh-CN"/>
        </w:rPr>
        <w:t>表7-1  措施落实后《实施方案》风险评估结果表</w:t>
      </w:r>
    </w:p>
    <w:tbl>
      <w:tblPr>
        <w:tblStyle w:val="13"/>
        <w:tblpPr w:leftFromText="180" w:rightFromText="180" w:vertAnchor="text" w:horzAnchor="page" w:tblpX="1483" w:tblpY="57"/>
        <w:tblOverlap w:val="never"/>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4374"/>
        <w:gridCol w:w="2487"/>
        <w:gridCol w:w="13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09" w:type="dxa"/>
          </w:tcPr>
          <w:p>
            <w:pPr>
              <w:pStyle w:val="25"/>
              <w:spacing w:line="482" w:lineRule="exact"/>
              <w:ind w:left="103" w:right="96"/>
              <w:rPr>
                <w:rFonts w:ascii="黑体" w:hAnsi="黑体" w:eastAsia="黑体" w:cs="黑体"/>
                <w:sz w:val="28"/>
              </w:rPr>
            </w:pPr>
            <w:r>
              <w:rPr>
                <w:rFonts w:hint="eastAsia" w:ascii="黑体" w:hAnsi="黑体" w:eastAsia="黑体" w:cs="黑体"/>
                <w:sz w:val="28"/>
              </w:rPr>
              <w:t>序号</w:t>
            </w:r>
          </w:p>
        </w:tc>
        <w:tc>
          <w:tcPr>
            <w:tcW w:w="4374" w:type="dxa"/>
          </w:tcPr>
          <w:p>
            <w:pPr>
              <w:pStyle w:val="25"/>
              <w:spacing w:line="482" w:lineRule="exact"/>
              <w:ind w:left="1041" w:right="1040"/>
              <w:rPr>
                <w:rFonts w:ascii="黑体" w:hAnsi="黑体" w:eastAsia="黑体" w:cs="黑体"/>
                <w:sz w:val="28"/>
              </w:rPr>
            </w:pPr>
            <w:r>
              <w:rPr>
                <w:rFonts w:hint="eastAsia" w:ascii="黑体" w:hAnsi="黑体" w:eastAsia="黑体" w:cs="黑体"/>
                <w:sz w:val="28"/>
              </w:rPr>
              <w:t>风险因素</w:t>
            </w:r>
          </w:p>
        </w:tc>
        <w:tc>
          <w:tcPr>
            <w:tcW w:w="2487" w:type="dxa"/>
          </w:tcPr>
          <w:p>
            <w:pPr>
              <w:pStyle w:val="25"/>
              <w:spacing w:line="482" w:lineRule="exact"/>
              <w:ind w:left="106" w:right="97"/>
              <w:rPr>
                <w:rFonts w:ascii="黑体" w:hAnsi="黑体" w:eastAsia="黑体" w:cs="黑体"/>
                <w:sz w:val="28"/>
              </w:rPr>
            </w:pPr>
            <w:r>
              <w:rPr>
                <w:rFonts w:hint="eastAsia" w:ascii="黑体" w:hAnsi="黑体" w:eastAsia="黑体" w:cs="黑体"/>
                <w:sz w:val="28"/>
              </w:rPr>
              <w:t>单因素风险程度 R</w:t>
            </w:r>
          </w:p>
        </w:tc>
        <w:tc>
          <w:tcPr>
            <w:tcW w:w="1392" w:type="dxa"/>
          </w:tcPr>
          <w:p>
            <w:pPr>
              <w:pStyle w:val="25"/>
              <w:spacing w:line="482" w:lineRule="exact"/>
              <w:ind w:left="114" w:right="108"/>
              <w:rPr>
                <w:rFonts w:ascii="黑体" w:hAnsi="黑体" w:eastAsia="黑体" w:cs="黑体"/>
                <w:sz w:val="28"/>
              </w:rPr>
            </w:pPr>
            <w:r>
              <w:rPr>
                <w:rFonts w:hint="eastAsia" w:ascii="黑体" w:hAnsi="黑体" w:eastAsia="黑体" w:cs="黑体"/>
                <w:sz w:val="28"/>
              </w:rPr>
              <w:t>判定结果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黑体" w:hAnsi="黑体" w:eastAsia="黑体" w:cs="黑体"/>
                <w:sz w:val="28"/>
                <w:lang w:val="en-US"/>
              </w:rPr>
            </w:pPr>
            <w:r>
              <w:rPr>
                <w:rFonts w:hint="eastAsia" w:ascii="黑体" w:hAnsi="黑体" w:eastAsia="黑体" w:cs="黑体"/>
                <w:sz w:val="28"/>
                <w:lang w:val="en-US"/>
              </w:rPr>
              <w:t>一</w:t>
            </w:r>
          </w:p>
        </w:tc>
        <w:tc>
          <w:tcPr>
            <w:tcW w:w="4374" w:type="dxa"/>
          </w:tcPr>
          <w:p>
            <w:pPr>
              <w:pStyle w:val="25"/>
              <w:spacing w:before="68"/>
              <w:ind w:left="1043" w:right="1039"/>
              <w:rPr>
                <w:rFonts w:ascii="黑体" w:hAnsi="黑体" w:eastAsia="黑体" w:cs="黑体"/>
                <w:sz w:val="28"/>
                <w:lang w:val="en-US"/>
              </w:rPr>
            </w:pPr>
            <w:r>
              <w:rPr>
                <w:rFonts w:hint="eastAsia" w:ascii="黑体" w:hAnsi="黑体" w:eastAsia="黑体" w:cs="黑体"/>
                <w:sz w:val="28"/>
                <w:lang w:val="en-US"/>
              </w:rPr>
              <w:t>社会稳定风险</w:t>
            </w:r>
          </w:p>
        </w:tc>
        <w:tc>
          <w:tcPr>
            <w:tcW w:w="2487" w:type="dxa"/>
          </w:tcPr>
          <w:p>
            <w:pPr>
              <w:pStyle w:val="25"/>
              <w:spacing w:before="81"/>
              <w:ind w:left="105" w:right="97"/>
              <w:rPr>
                <w:rFonts w:ascii="黑体" w:hAnsi="黑体" w:eastAsia="黑体" w:cs="黑体"/>
                <w:sz w:val="28"/>
                <w:lang w:val="en-US"/>
              </w:rPr>
            </w:pPr>
            <w:r>
              <w:rPr>
                <w:rFonts w:hint="eastAsia" w:ascii="黑体" w:hAnsi="黑体" w:eastAsia="黑体" w:cs="黑体"/>
                <w:b/>
                <w:bCs/>
                <w:sz w:val="28"/>
                <w:lang w:val="en-US"/>
              </w:rPr>
              <w:t>0.30</w:t>
            </w:r>
          </w:p>
        </w:tc>
        <w:tc>
          <w:tcPr>
            <w:tcW w:w="1392" w:type="dxa"/>
          </w:tcPr>
          <w:p>
            <w:pPr>
              <w:pStyle w:val="25"/>
              <w:spacing w:before="68"/>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lang w:val="en-US"/>
              </w:rPr>
            </w:pPr>
            <w:r>
              <w:rPr>
                <w:rFonts w:hint="eastAsia" w:ascii="Times New Roman"/>
                <w:sz w:val="28"/>
                <w:lang w:val="en-US"/>
              </w:rPr>
              <w:t>1</w:t>
            </w:r>
          </w:p>
        </w:tc>
        <w:tc>
          <w:tcPr>
            <w:tcW w:w="4374" w:type="dxa"/>
          </w:tcPr>
          <w:p>
            <w:pPr>
              <w:pStyle w:val="25"/>
              <w:spacing w:before="68"/>
              <w:ind w:left="1043" w:right="1039"/>
              <w:rPr>
                <w:sz w:val="28"/>
                <w:lang w:val="en-US"/>
              </w:rPr>
            </w:pPr>
            <w:r>
              <w:rPr>
                <w:rFonts w:hint="eastAsia"/>
                <w:sz w:val="28"/>
                <w:lang w:val="en-US"/>
              </w:rPr>
              <w:t>复杂社会矛盾风险</w:t>
            </w:r>
          </w:p>
        </w:tc>
        <w:tc>
          <w:tcPr>
            <w:tcW w:w="2487" w:type="dxa"/>
          </w:tcPr>
          <w:p>
            <w:pPr>
              <w:pStyle w:val="25"/>
              <w:spacing w:before="81"/>
              <w:ind w:left="105" w:right="97"/>
              <w:rPr>
                <w:rFonts w:ascii="Times New Roman"/>
                <w:sz w:val="28"/>
                <w:lang w:val="en-US"/>
              </w:rPr>
            </w:pPr>
            <w:r>
              <w:rPr>
                <w:rFonts w:hint="eastAsia" w:ascii="Times New Roman"/>
                <w:sz w:val="28"/>
                <w:lang w:val="en-US"/>
              </w:rPr>
              <w:t>0.30</w:t>
            </w:r>
          </w:p>
        </w:tc>
        <w:tc>
          <w:tcPr>
            <w:tcW w:w="1392" w:type="dxa"/>
          </w:tcPr>
          <w:p>
            <w:pPr>
              <w:pStyle w:val="25"/>
              <w:spacing w:before="68"/>
              <w:ind w:left="114" w:right="103"/>
              <w:rPr>
                <w:sz w:val="28"/>
                <w:lang w:val="en-US"/>
              </w:rPr>
            </w:pPr>
            <w:r>
              <w:rPr>
                <w:rFonts w:hint="eastAsia"/>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ascii="Times New Roman"/>
                <w:sz w:val="28"/>
              </w:rPr>
              <w:t>2</w:t>
            </w:r>
          </w:p>
        </w:tc>
        <w:tc>
          <w:tcPr>
            <w:tcW w:w="4374" w:type="dxa"/>
          </w:tcPr>
          <w:p>
            <w:pPr>
              <w:pStyle w:val="25"/>
              <w:spacing w:before="68"/>
              <w:ind w:left="1043" w:right="1039"/>
              <w:rPr>
                <w:sz w:val="28"/>
              </w:rPr>
            </w:pPr>
            <w:r>
              <w:rPr>
                <w:sz w:val="28"/>
              </w:rPr>
              <w:t>群体性事件风险</w:t>
            </w:r>
          </w:p>
        </w:tc>
        <w:tc>
          <w:tcPr>
            <w:tcW w:w="2487" w:type="dxa"/>
          </w:tcPr>
          <w:p>
            <w:pPr>
              <w:pStyle w:val="25"/>
              <w:spacing w:before="81"/>
              <w:ind w:left="105" w:right="97"/>
              <w:rPr>
                <w:rFonts w:ascii="Times New Roman"/>
                <w:sz w:val="28"/>
                <w:lang w:val="en-US"/>
              </w:rPr>
            </w:pPr>
            <w:r>
              <w:rPr>
                <w:rFonts w:hint="eastAsia" w:ascii="Times New Roman"/>
                <w:sz w:val="28"/>
                <w:lang w:val="en-US"/>
              </w:rPr>
              <w:t>0.30</w:t>
            </w:r>
          </w:p>
        </w:tc>
        <w:tc>
          <w:tcPr>
            <w:tcW w:w="1392" w:type="dxa"/>
          </w:tcPr>
          <w:p>
            <w:pPr>
              <w:pStyle w:val="25"/>
              <w:spacing w:before="68"/>
              <w:ind w:left="114" w:right="103"/>
              <w:rPr>
                <w:sz w:val="28"/>
              </w:rPr>
            </w:pPr>
            <w:r>
              <w:rPr>
                <w:rFonts w:hint="eastAsia"/>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ascii="Times New Roman"/>
                <w:sz w:val="28"/>
              </w:rPr>
              <w:t>3</w:t>
            </w:r>
          </w:p>
        </w:tc>
        <w:tc>
          <w:tcPr>
            <w:tcW w:w="4374" w:type="dxa"/>
          </w:tcPr>
          <w:p>
            <w:pPr>
              <w:pStyle w:val="25"/>
              <w:spacing w:before="68"/>
              <w:ind w:left="1043" w:right="1040"/>
              <w:rPr>
                <w:sz w:val="28"/>
              </w:rPr>
            </w:pPr>
            <w:r>
              <w:rPr>
                <w:sz w:val="28"/>
              </w:rPr>
              <w:t>过激敏感事件风险</w:t>
            </w:r>
          </w:p>
        </w:tc>
        <w:tc>
          <w:tcPr>
            <w:tcW w:w="2487" w:type="dxa"/>
          </w:tcPr>
          <w:p>
            <w:pPr>
              <w:pStyle w:val="25"/>
              <w:spacing w:before="81"/>
              <w:ind w:left="105" w:right="97"/>
              <w:rPr>
                <w:rFonts w:ascii="Times New Roman"/>
                <w:sz w:val="28"/>
                <w:lang w:val="en-US"/>
              </w:rPr>
            </w:pPr>
            <w:r>
              <w:rPr>
                <w:rFonts w:hint="eastAsia" w:ascii="Times New Roman"/>
                <w:sz w:val="28"/>
                <w:lang w:val="en-US"/>
              </w:rPr>
              <w:t>0.30</w:t>
            </w:r>
          </w:p>
        </w:tc>
        <w:tc>
          <w:tcPr>
            <w:tcW w:w="1392" w:type="dxa"/>
          </w:tcPr>
          <w:p>
            <w:pPr>
              <w:pStyle w:val="25"/>
              <w:spacing w:before="68"/>
              <w:ind w:left="114" w:right="103"/>
              <w:rPr>
                <w:sz w:val="28"/>
              </w:rPr>
            </w:pPr>
            <w:r>
              <w:rPr>
                <w:rFonts w:hint="eastAsia"/>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09" w:type="dxa"/>
          </w:tcPr>
          <w:p>
            <w:pPr>
              <w:pStyle w:val="25"/>
              <w:spacing w:before="82"/>
              <w:ind w:left="8"/>
              <w:rPr>
                <w:rFonts w:ascii="Times New Roman"/>
                <w:sz w:val="28"/>
                <w:lang w:val="en-US"/>
              </w:rPr>
            </w:pPr>
            <w:r>
              <w:rPr>
                <w:rFonts w:hint="eastAsia" w:ascii="黑体" w:hAnsi="黑体" w:eastAsia="黑体" w:cs="黑体"/>
                <w:sz w:val="28"/>
                <w:lang w:val="en-US"/>
              </w:rPr>
              <w:t>二</w:t>
            </w:r>
          </w:p>
        </w:tc>
        <w:tc>
          <w:tcPr>
            <w:tcW w:w="4374" w:type="dxa"/>
          </w:tcPr>
          <w:p>
            <w:pPr>
              <w:pStyle w:val="25"/>
              <w:spacing w:before="70"/>
              <w:ind w:left="1043" w:right="1040"/>
              <w:rPr>
                <w:sz w:val="28"/>
                <w:lang w:val="en-US"/>
              </w:rPr>
            </w:pPr>
            <w:r>
              <w:rPr>
                <w:rFonts w:hint="eastAsia" w:ascii="黑体" w:hAnsi="黑体" w:eastAsia="黑体" w:cs="黑体"/>
                <w:sz w:val="28"/>
                <w:lang w:val="en-US"/>
              </w:rPr>
              <w:t>生态环境风险</w:t>
            </w:r>
          </w:p>
        </w:tc>
        <w:tc>
          <w:tcPr>
            <w:tcW w:w="2487" w:type="dxa"/>
          </w:tcPr>
          <w:p>
            <w:pPr>
              <w:pStyle w:val="25"/>
              <w:spacing w:before="82"/>
              <w:ind w:left="105" w:right="97"/>
              <w:rPr>
                <w:rFonts w:ascii="黑体" w:hAnsi="黑体" w:eastAsia="黑体" w:cs="黑体"/>
                <w:sz w:val="28"/>
                <w:lang w:val="en-US"/>
              </w:rPr>
            </w:pPr>
            <w:r>
              <w:rPr>
                <w:rFonts w:hint="eastAsia" w:ascii="黑体" w:hAnsi="黑体" w:eastAsia="黑体" w:cs="黑体"/>
                <w:b/>
                <w:bCs/>
                <w:sz w:val="28"/>
                <w:lang w:val="en-US"/>
              </w:rPr>
              <w:t>0.30</w:t>
            </w:r>
          </w:p>
        </w:tc>
        <w:tc>
          <w:tcPr>
            <w:tcW w:w="1392" w:type="dxa"/>
          </w:tcPr>
          <w:p>
            <w:pPr>
              <w:pStyle w:val="25"/>
              <w:spacing w:before="70"/>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09" w:type="dxa"/>
          </w:tcPr>
          <w:p>
            <w:pPr>
              <w:pStyle w:val="25"/>
              <w:spacing w:before="82"/>
              <w:ind w:left="8"/>
              <w:rPr>
                <w:rFonts w:ascii="Times New Roman"/>
                <w:sz w:val="28"/>
              </w:rPr>
            </w:pPr>
            <w:r>
              <w:rPr>
                <w:rFonts w:hint="eastAsia" w:ascii="Times New Roman"/>
                <w:sz w:val="28"/>
                <w:lang w:val="en-US"/>
              </w:rPr>
              <w:t>1</w:t>
            </w:r>
          </w:p>
        </w:tc>
        <w:tc>
          <w:tcPr>
            <w:tcW w:w="4374" w:type="dxa"/>
          </w:tcPr>
          <w:p>
            <w:pPr>
              <w:pStyle w:val="25"/>
              <w:spacing w:before="70"/>
              <w:ind w:left="1043" w:right="1040"/>
              <w:rPr>
                <w:sz w:val="28"/>
              </w:rPr>
            </w:pPr>
            <w:r>
              <w:rPr>
                <w:sz w:val="28"/>
              </w:rPr>
              <w:t>人居环境质量风险</w:t>
            </w:r>
          </w:p>
        </w:tc>
        <w:tc>
          <w:tcPr>
            <w:tcW w:w="2487" w:type="dxa"/>
          </w:tcPr>
          <w:p>
            <w:pPr>
              <w:pStyle w:val="25"/>
              <w:spacing w:before="82"/>
              <w:ind w:left="105" w:right="97"/>
              <w:rPr>
                <w:rFonts w:ascii="Times New Roman"/>
                <w:sz w:val="28"/>
              </w:rPr>
            </w:pPr>
            <w:r>
              <w:rPr>
                <w:rFonts w:ascii="Times New Roman"/>
                <w:sz w:val="28"/>
              </w:rPr>
              <w:t>0.</w:t>
            </w:r>
            <w:r>
              <w:rPr>
                <w:rFonts w:hint="eastAsia" w:ascii="Times New Roman"/>
                <w:sz w:val="28"/>
                <w:lang w:val="en-US"/>
              </w:rPr>
              <w:t>3</w:t>
            </w:r>
            <w:r>
              <w:rPr>
                <w:rFonts w:ascii="Times New Roman"/>
                <w:sz w:val="28"/>
              </w:rPr>
              <w:t>0</w:t>
            </w:r>
          </w:p>
        </w:tc>
        <w:tc>
          <w:tcPr>
            <w:tcW w:w="1392" w:type="dxa"/>
          </w:tcPr>
          <w:p>
            <w:pPr>
              <w:pStyle w:val="25"/>
              <w:spacing w:before="70"/>
              <w:ind w:left="114" w:right="103"/>
              <w:rPr>
                <w:sz w:val="28"/>
              </w:rPr>
            </w:pPr>
            <w:r>
              <w:rPr>
                <w:sz w:val="28"/>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黑体" w:hAnsi="黑体" w:eastAsia="黑体" w:cs="黑体"/>
                <w:sz w:val="28"/>
                <w:lang w:val="en-US"/>
              </w:rPr>
            </w:pPr>
            <w:r>
              <w:rPr>
                <w:rFonts w:hint="eastAsia" w:ascii="黑体" w:hAnsi="黑体" w:eastAsia="黑体" w:cs="黑体"/>
                <w:sz w:val="28"/>
                <w:lang w:val="en-US"/>
              </w:rPr>
              <w:t>三</w:t>
            </w:r>
          </w:p>
        </w:tc>
        <w:tc>
          <w:tcPr>
            <w:tcW w:w="4374" w:type="dxa"/>
          </w:tcPr>
          <w:p>
            <w:pPr>
              <w:pStyle w:val="25"/>
              <w:spacing w:before="70"/>
              <w:ind w:left="1043" w:right="1040"/>
              <w:rPr>
                <w:rFonts w:ascii="黑体" w:hAnsi="黑体" w:eastAsia="黑体" w:cs="黑体"/>
                <w:sz w:val="28"/>
                <w:lang w:val="en-US"/>
              </w:rPr>
            </w:pPr>
            <w:r>
              <w:rPr>
                <w:rFonts w:hint="eastAsia" w:ascii="黑体" w:hAnsi="黑体" w:eastAsia="黑体" w:cs="黑体"/>
                <w:sz w:val="28"/>
                <w:lang w:val="en-US"/>
              </w:rPr>
              <w:t>公共安全风险</w:t>
            </w:r>
          </w:p>
        </w:tc>
        <w:tc>
          <w:tcPr>
            <w:tcW w:w="2487" w:type="dxa"/>
          </w:tcPr>
          <w:p>
            <w:pPr>
              <w:pStyle w:val="25"/>
              <w:spacing w:before="81"/>
              <w:ind w:left="105" w:right="97"/>
              <w:rPr>
                <w:rFonts w:ascii="黑体" w:hAnsi="黑体" w:eastAsia="黑体" w:cs="黑体"/>
                <w:sz w:val="28"/>
                <w:lang w:val="en-US"/>
              </w:rPr>
            </w:pPr>
            <w:r>
              <w:rPr>
                <w:rFonts w:hint="eastAsia" w:ascii="黑体" w:hAnsi="黑体" w:eastAsia="黑体" w:cs="黑体"/>
                <w:b/>
                <w:bCs/>
                <w:sz w:val="28"/>
                <w:lang w:val="en-US"/>
              </w:rPr>
              <w:t>0.40</w:t>
            </w:r>
          </w:p>
        </w:tc>
        <w:tc>
          <w:tcPr>
            <w:tcW w:w="1392" w:type="dxa"/>
          </w:tcPr>
          <w:p>
            <w:pPr>
              <w:pStyle w:val="25"/>
              <w:spacing w:before="70"/>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ascii="Times New Roman"/>
                <w:sz w:val="28"/>
              </w:rPr>
              <w:t>1</w:t>
            </w:r>
          </w:p>
        </w:tc>
        <w:tc>
          <w:tcPr>
            <w:tcW w:w="4374" w:type="dxa"/>
          </w:tcPr>
          <w:p>
            <w:pPr>
              <w:pStyle w:val="25"/>
              <w:spacing w:before="70"/>
              <w:ind w:left="1043" w:right="1040"/>
              <w:rPr>
                <w:sz w:val="28"/>
              </w:rPr>
            </w:pPr>
            <w:r>
              <w:rPr>
                <w:sz w:val="28"/>
              </w:rPr>
              <w:t>日常</w:t>
            </w:r>
            <w:r>
              <w:rPr>
                <w:rFonts w:hint="eastAsia"/>
                <w:sz w:val="28"/>
                <w:lang w:val="en-US"/>
              </w:rPr>
              <w:t>公共</w:t>
            </w:r>
            <w:r>
              <w:rPr>
                <w:sz w:val="28"/>
              </w:rPr>
              <w:t>安全风险</w:t>
            </w:r>
          </w:p>
        </w:tc>
        <w:tc>
          <w:tcPr>
            <w:tcW w:w="2487" w:type="dxa"/>
          </w:tcPr>
          <w:p>
            <w:pPr>
              <w:pStyle w:val="25"/>
              <w:spacing w:before="81"/>
              <w:ind w:left="105" w:right="97"/>
              <w:rPr>
                <w:rFonts w:ascii="Times New Roman"/>
                <w:sz w:val="28"/>
                <w:lang w:val="en-US"/>
              </w:rPr>
            </w:pPr>
            <w:r>
              <w:rPr>
                <w:rFonts w:hint="eastAsia" w:ascii="Times New Roman"/>
                <w:sz w:val="28"/>
                <w:lang w:val="en-US"/>
              </w:rPr>
              <w:t>0.40</w:t>
            </w:r>
          </w:p>
        </w:tc>
        <w:tc>
          <w:tcPr>
            <w:tcW w:w="1392" w:type="dxa"/>
          </w:tcPr>
          <w:p>
            <w:pPr>
              <w:pStyle w:val="25"/>
              <w:spacing w:before="70"/>
              <w:ind w:left="114" w:right="103"/>
              <w:rPr>
                <w:sz w:val="28"/>
              </w:rPr>
            </w:pPr>
            <w:r>
              <w:rPr>
                <w:rFonts w:hint="eastAsia"/>
                <w:sz w:val="28"/>
                <w:lang w:val="en-US"/>
              </w:rPr>
              <w:t>低</w:t>
            </w:r>
            <w:r>
              <w:rPr>
                <w:sz w:val="28"/>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09" w:type="dxa"/>
          </w:tcPr>
          <w:p>
            <w:pPr>
              <w:pStyle w:val="25"/>
              <w:spacing w:before="84"/>
              <w:ind w:left="8"/>
              <w:rPr>
                <w:rFonts w:ascii="黑体" w:hAnsi="黑体" w:eastAsia="黑体" w:cs="黑体"/>
                <w:sz w:val="28"/>
                <w:lang w:val="en-US"/>
              </w:rPr>
            </w:pPr>
            <w:r>
              <w:rPr>
                <w:rFonts w:hint="eastAsia" w:ascii="黑体" w:hAnsi="黑体" w:eastAsia="黑体" w:cs="黑体"/>
                <w:sz w:val="28"/>
                <w:lang w:val="en-US"/>
              </w:rPr>
              <w:t>四</w:t>
            </w:r>
          </w:p>
        </w:tc>
        <w:tc>
          <w:tcPr>
            <w:tcW w:w="4374" w:type="dxa"/>
          </w:tcPr>
          <w:p>
            <w:pPr>
              <w:pStyle w:val="25"/>
              <w:spacing w:before="70"/>
              <w:ind w:left="1043" w:right="1040"/>
              <w:rPr>
                <w:rFonts w:ascii="黑体" w:hAnsi="黑体" w:eastAsia="黑体" w:cs="黑体"/>
                <w:sz w:val="28"/>
                <w:lang w:val="en-US"/>
              </w:rPr>
            </w:pPr>
            <w:r>
              <w:rPr>
                <w:rFonts w:hint="eastAsia" w:ascii="黑体" w:hAnsi="黑体" w:eastAsia="黑体" w:cs="黑体"/>
                <w:sz w:val="28"/>
                <w:lang w:val="en-US"/>
              </w:rPr>
              <w:t>财政金融风险</w:t>
            </w:r>
          </w:p>
        </w:tc>
        <w:tc>
          <w:tcPr>
            <w:tcW w:w="2487" w:type="dxa"/>
          </w:tcPr>
          <w:p>
            <w:pPr>
              <w:pStyle w:val="25"/>
              <w:spacing w:before="84"/>
              <w:ind w:left="105" w:right="97"/>
              <w:rPr>
                <w:rFonts w:ascii="黑体" w:hAnsi="黑体" w:eastAsia="黑体" w:cs="黑体"/>
                <w:sz w:val="28"/>
                <w:lang w:val="en-US"/>
              </w:rPr>
            </w:pPr>
            <w:r>
              <w:rPr>
                <w:rFonts w:hint="eastAsia" w:ascii="黑体" w:hAnsi="黑体" w:eastAsia="黑体" w:cs="黑体"/>
                <w:b/>
                <w:bCs/>
                <w:sz w:val="28"/>
                <w:lang w:val="en-US"/>
              </w:rPr>
              <w:t>0.40</w:t>
            </w:r>
          </w:p>
        </w:tc>
        <w:tc>
          <w:tcPr>
            <w:tcW w:w="1392" w:type="dxa"/>
          </w:tcPr>
          <w:p>
            <w:pPr>
              <w:pStyle w:val="25"/>
              <w:spacing w:before="70"/>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09" w:type="dxa"/>
          </w:tcPr>
          <w:p>
            <w:pPr>
              <w:pStyle w:val="25"/>
              <w:spacing w:before="84"/>
              <w:ind w:left="8"/>
              <w:rPr>
                <w:rFonts w:ascii="Times New Roman"/>
                <w:sz w:val="28"/>
              </w:rPr>
            </w:pPr>
            <w:r>
              <w:rPr>
                <w:rFonts w:ascii="Times New Roman"/>
                <w:sz w:val="28"/>
              </w:rPr>
              <w:t>1</w:t>
            </w:r>
          </w:p>
        </w:tc>
        <w:tc>
          <w:tcPr>
            <w:tcW w:w="4374" w:type="dxa"/>
          </w:tcPr>
          <w:p>
            <w:pPr>
              <w:pStyle w:val="25"/>
              <w:spacing w:before="70"/>
              <w:ind w:left="1043" w:right="1040"/>
              <w:rPr>
                <w:sz w:val="28"/>
              </w:rPr>
            </w:pPr>
            <w:r>
              <w:rPr>
                <w:sz w:val="28"/>
              </w:rPr>
              <w:t>财政承受能力风险</w:t>
            </w:r>
          </w:p>
        </w:tc>
        <w:tc>
          <w:tcPr>
            <w:tcW w:w="2487" w:type="dxa"/>
          </w:tcPr>
          <w:p>
            <w:pPr>
              <w:pStyle w:val="25"/>
              <w:spacing w:before="84"/>
              <w:ind w:left="105" w:right="97"/>
              <w:rPr>
                <w:rFonts w:ascii="Times New Roman"/>
                <w:sz w:val="28"/>
                <w:lang w:val="en-US"/>
              </w:rPr>
            </w:pPr>
            <w:r>
              <w:rPr>
                <w:rFonts w:hint="eastAsia" w:ascii="Times New Roman"/>
                <w:sz w:val="28"/>
                <w:lang w:val="en-US"/>
              </w:rPr>
              <w:t>0.40</w:t>
            </w:r>
          </w:p>
        </w:tc>
        <w:tc>
          <w:tcPr>
            <w:tcW w:w="1392" w:type="dxa"/>
          </w:tcPr>
          <w:p>
            <w:pPr>
              <w:pStyle w:val="25"/>
              <w:spacing w:before="70"/>
              <w:ind w:left="114" w:right="103"/>
              <w:rPr>
                <w:sz w:val="28"/>
              </w:rPr>
            </w:pPr>
            <w:r>
              <w:rPr>
                <w:rFonts w:hint="eastAsia"/>
                <w:sz w:val="28"/>
                <w:lang w:val="en-US"/>
              </w:rPr>
              <w:t>低</w:t>
            </w:r>
            <w:r>
              <w:rPr>
                <w:sz w:val="28"/>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ascii="Times New Roman"/>
                <w:sz w:val="28"/>
              </w:rPr>
              <w:t>2</w:t>
            </w:r>
          </w:p>
        </w:tc>
        <w:tc>
          <w:tcPr>
            <w:tcW w:w="4374" w:type="dxa"/>
          </w:tcPr>
          <w:p>
            <w:pPr>
              <w:pStyle w:val="25"/>
              <w:spacing w:before="68"/>
              <w:ind w:left="1043" w:right="1040"/>
              <w:rPr>
                <w:sz w:val="28"/>
              </w:rPr>
            </w:pPr>
            <w:r>
              <w:rPr>
                <w:sz w:val="28"/>
              </w:rPr>
              <w:t>财政投资效益风险</w:t>
            </w:r>
          </w:p>
        </w:tc>
        <w:tc>
          <w:tcPr>
            <w:tcW w:w="2487" w:type="dxa"/>
          </w:tcPr>
          <w:p>
            <w:pPr>
              <w:pStyle w:val="25"/>
              <w:spacing w:before="81"/>
              <w:ind w:left="105" w:right="97"/>
              <w:rPr>
                <w:rFonts w:ascii="Times New Roman"/>
                <w:sz w:val="28"/>
                <w:lang w:val="en-US"/>
              </w:rPr>
            </w:pPr>
            <w:r>
              <w:rPr>
                <w:rFonts w:hint="eastAsia" w:ascii="Times New Roman"/>
                <w:sz w:val="28"/>
                <w:lang w:val="en-US"/>
              </w:rPr>
              <w:t>0.40</w:t>
            </w:r>
          </w:p>
        </w:tc>
        <w:tc>
          <w:tcPr>
            <w:tcW w:w="1392" w:type="dxa"/>
          </w:tcPr>
          <w:p>
            <w:pPr>
              <w:pStyle w:val="25"/>
              <w:spacing w:before="68"/>
              <w:ind w:left="114" w:right="103"/>
              <w:rPr>
                <w:sz w:val="28"/>
              </w:rPr>
            </w:pPr>
            <w:r>
              <w:rPr>
                <w:rFonts w:hint="eastAsia"/>
                <w:sz w:val="28"/>
                <w:lang w:val="en-US"/>
              </w:rPr>
              <w:t>低</w:t>
            </w:r>
            <w:r>
              <w:rPr>
                <w:sz w:val="28"/>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黑体" w:hAnsi="黑体" w:eastAsia="黑体" w:cs="黑体"/>
                <w:sz w:val="28"/>
                <w:lang w:val="en-US"/>
              </w:rPr>
            </w:pPr>
            <w:r>
              <w:rPr>
                <w:rFonts w:hint="eastAsia" w:ascii="黑体" w:hAnsi="黑体" w:eastAsia="黑体" w:cs="黑体"/>
                <w:sz w:val="28"/>
                <w:lang w:val="en-US"/>
              </w:rPr>
              <w:t>五</w:t>
            </w:r>
          </w:p>
        </w:tc>
        <w:tc>
          <w:tcPr>
            <w:tcW w:w="4374" w:type="dxa"/>
          </w:tcPr>
          <w:p>
            <w:pPr>
              <w:pStyle w:val="25"/>
              <w:spacing w:before="67"/>
              <w:ind w:left="1043" w:right="1037"/>
              <w:rPr>
                <w:rFonts w:ascii="黑体" w:hAnsi="黑体" w:eastAsia="黑体" w:cs="黑体"/>
                <w:sz w:val="28"/>
                <w:lang w:val="en-US"/>
              </w:rPr>
            </w:pPr>
            <w:r>
              <w:rPr>
                <w:rFonts w:hint="eastAsia" w:ascii="黑体" w:hAnsi="黑体" w:eastAsia="黑体" w:cs="黑体"/>
                <w:sz w:val="28"/>
                <w:lang w:val="en-US"/>
              </w:rPr>
              <w:t>舆情风险</w:t>
            </w:r>
          </w:p>
        </w:tc>
        <w:tc>
          <w:tcPr>
            <w:tcW w:w="2487" w:type="dxa"/>
          </w:tcPr>
          <w:p>
            <w:pPr>
              <w:pStyle w:val="25"/>
              <w:spacing w:before="81"/>
              <w:ind w:left="105" w:right="97"/>
              <w:rPr>
                <w:rFonts w:ascii="黑体" w:hAnsi="黑体" w:eastAsia="黑体" w:cs="黑体"/>
                <w:sz w:val="28"/>
                <w:lang w:val="en-US"/>
              </w:rPr>
            </w:pPr>
            <w:r>
              <w:rPr>
                <w:rFonts w:hint="eastAsia" w:ascii="黑体" w:hAnsi="黑体" w:eastAsia="黑体" w:cs="黑体"/>
                <w:b/>
                <w:bCs/>
                <w:sz w:val="28"/>
                <w:lang w:val="en-US"/>
              </w:rPr>
              <w:t>0.60</w:t>
            </w:r>
          </w:p>
        </w:tc>
        <w:tc>
          <w:tcPr>
            <w:tcW w:w="1392" w:type="dxa"/>
          </w:tcPr>
          <w:p>
            <w:pPr>
              <w:pStyle w:val="25"/>
              <w:spacing w:before="67"/>
              <w:ind w:left="114" w:right="103"/>
              <w:rPr>
                <w:rFonts w:ascii="黑体" w:hAnsi="黑体" w:eastAsia="黑体" w:cs="黑体"/>
                <w:sz w:val="28"/>
                <w:lang w:val="en-US"/>
              </w:rPr>
            </w:pPr>
            <w:r>
              <w:rPr>
                <w:rFonts w:hint="eastAsia" w:ascii="黑体" w:hAnsi="黑体" w:eastAsia="黑体" w:cs="黑体"/>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lang w:val="en-US"/>
              </w:rPr>
            </w:pPr>
            <w:r>
              <w:rPr>
                <w:rFonts w:hint="eastAsia" w:ascii="Times New Roman"/>
                <w:sz w:val="28"/>
                <w:lang w:val="en-US"/>
              </w:rPr>
              <w:t>1</w:t>
            </w:r>
          </w:p>
        </w:tc>
        <w:tc>
          <w:tcPr>
            <w:tcW w:w="4374" w:type="dxa"/>
          </w:tcPr>
          <w:p>
            <w:pPr>
              <w:pStyle w:val="25"/>
              <w:spacing w:before="67"/>
              <w:ind w:left="1043" w:right="1037"/>
              <w:rPr>
                <w:sz w:val="28"/>
                <w:lang w:val="en-US"/>
              </w:rPr>
            </w:pPr>
            <w:r>
              <w:rPr>
                <w:rFonts w:hint="eastAsia"/>
                <w:sz w:val="28"/>
                <w:lang w:val="en-US"/>
              </w:rPr>
              <w:t>公众参与风险</w:t>
            </w:r>
          </w:p>
        </w:tc>
        <w:tc>
          <w:tcPr>
            <w:tcW w:w="2487" w:type="dxa"/>
          </w:tcPr>
          <w:p>
            <w:pPr>
              <w:pStyle w:val="25"/>
              <w:spacing w:before="81"/>
              <w:ind w:left="105" w:right="97"/>
              <w:rPr>
                <w:rFonts w:ascii="Times New Roman"/>
                <w:sz w:val="28"/>
                <w:lang w:val="en-US"/>
              </w:rPr>
            </w:pPr>
            <w:r>
              <w:rPr>
                <w:rFonts w:hint="eastAsia" w:ascii="Times New Roman"/>
                <w:sz w:val="28"/>
                <w:lang w:val="en-US"/>
              </w:rPr>
              <w:t>0.50</w:t>
            </w:r>
          </w:p>
        </w:tc>
        <w:tc>
          <w:tcPr>
            <w:tcW w:w="1392" w:type="dxa"/>
          </w:tcPr>
          <w:p>
            <w:pPr>
              <w:pStyle w:val="25"/>
              <w:spacing w:before="67"/>
              <w:ind w:left="114" w:right="103"/>
              <w:rPr>
                <w:sz w:val="28"/>
                <w:lang w:val="en-US"/>
              </w:rPr>
            </w:pPr>
            <w:r>
              <w:rPr>
                <w:rFonts w:hint="eastAsia"/>
                <w:sz w:val="28"/>
                <w:lang w:val="en-US"/>
              </w:rPr>
              <w:t>低风险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hint="eastAsia" w:ascii="Times New Roman"/>
                <w:sz w:val="28"/>
                <w:lang w:val="en-US"/>
              </w:rPr>
              <w:t>2</w:t>
            </w:r>
          </w:p>
        </w:tc>
        <w:tc>
          <w:tcPr>
            <w:tcW w:w="4374" w:type="dxa"/>
          </w:tcPr>
          <w:p>
            <w:pPr>
              <w:pStyle w:val="25"/>
              <w:spacing w:before="67"/>
              <w:ind w:left="1043" w:right="1037"/>
              <w:rPr>
                <w:sz w:val="28"/>
              </w:rPr>
            </w:pPr>
            <w:r>
              <w:rPr>
                <w:sz w:val="28"/>
              </w:rPr>
              <w:t>宣传引导风险</w:t>
            </w:r>
          </w:p>
        </w:tc>
        <w:tc>
          <w:tcPr>
            <w:tcW w:w="2487" w:type="dxa"/>
          </w:tcPr>
          <w:p>
            <w:pPr>
              <w:pStyle w:val="25"/>
              <w:spacing w:before="81"/>
              <w:ind w:left="105" w:right="97"/>
              <w:rPr>
                <w:rFonts w:ascii="Times New Roman"/>
                <w:sz w:val="28"/>
                <w:lang w:val="en-US"/>
              </w:rPr>
            </w:pPr>
            <w:r>
              <w:rPr>
                <w:rFonts w:hint="eastAsia" w:ascii="Times New Roman"/>
                <w:sz w:val="28"/>
                <w:lang w:val="en-US"/>
              </w:rPr>
              <w:t>0.50</w:t>
            </w:r>
          </w:p>
        </w:tc>
        <w:tc>
          <w:tcPr>
            <w:tcW w:w="1392" w:type="dxa"/>
          </w:tcPr>
          <w:p>
            <w:pPr>
              <w:pStyle w:val="25"/>
              <w:spacing w:before="67"/>
              <w:ind w:left="114" w:right="103"/>
              <w:rPr>
                <w:sz w:val="28"/>
              </w:rPr>
            </w:pPr>
            <w:r>
              <w:rPr>
                <w:rFonts w:hint="eastAsia"/>
                <w:sz w:val="28"/>
                <w:lang w:val="en-US"/>
              </w:rPr>
              <w:t>低</w:t>
            </w:r>
            <w:r>
              <w:rPr>
                <w:sz w:val="28"/>
              </w:rPr>
              <w:t>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09" w:type="dxa"/>
          </w:tcPr>
          <w:p>
            <w:pPr>
              <w:pStyle w:val="25"/>
              <w:spacing w:before="81"/>
              <w:ind w:left="8"/>
              <w:rPr>
                <w:rFonts w:ascii="Times New Roman"/>
                <w:sz w:val="28"/>
              </w:rPr>
            </w:pPr>
            <w:r>
              <w:rPr>
                <w:rFonts w:hint="eastAsia" w:ascii="Times New Roman"/>
                <w:sz w:val="28"/>
                <w:lang w:val="en-US"/>
              </w:rPr>
              <w:t>3</w:t>
            </w:r>
          </w:p>
        </w:tc>
        <w:tc>
          <w:tcPr>
            <w:tcW w:w="4374" w:type="dxa"/>
          </w:tcPr>
          <w:p>
            <w:pPr>
              <w:pStyle w:val="25"/>
              <w:spacing w:before="67"/>
              <w:ind w:left="1043" w:right="1037"/>
              <w:rPr>
                <w:sz w:val="28"/>
              </w:rPr>
            </w:pPr>
            <w:r>
              <w:rPr>
                <w:sz w:val="28"/>
              </w:rPr>
              <w:t>舆情应对风险</w:t>
            </w:r>
          </w:p>
        </w:tc>
        <w:tc>
          <w:tcPr>
            <w:tcW w:w="2487" w:type="dxa"/>
          </w:tcPr>
          <w:p>
            <w:pPr>
              <w:pStyle w:val="25"/>
              <w:spacing w:before="81"/>
              <w:ind w:left="105" w:right="97"/>
              <w:rPr>
                <w:rFonts w:ascii="Times New Roman"/>
                <w:sz w:val="28"/>
                <w:lang w:val="en-US"/>
              </w:rPr>
            </w:pPr>
            <w:r>
              <w:rPr>
                <w:rFonts w:hint="eastAsia" w:ascii="Times New Roman"/>
                <w:sz w:val="28"/>
                <w:lang w:val="en-US"/>
              </w:rPr>
              <w:t>0.80</w:t>
            </w:r>
          </w:p>
        </w:tc>
        <w:tc>
          <w:tcPr>
            <w:tcW w:w="1392" w:type="dxa"/>
          </w:tcPr>
          <w:p>
            <w:pPr>
              <w:pStyle w:val="25"/>
              <w:spacing w:before="67"/>
              <w:ind w:left="114" w:right="103"/>
              <w:rPr>
                <w:sz w:val="28"/>
              </w:rPr>
            </w:pPr>
            <w:r>
              <w:rPr>
                <w:rFonts w:hint="eastAsia"/>
                <w:sz w:val="28"/>
                <w:lang w:val="en-US"/>
              </w:rPr>
              <w:t>低</w:t>
            </w:r>
            <w:r>
              <w:rPr>
                <w:sz w:val="28"/>
              </w:rPr>
              <w:t>风险</w:t>
            </w:r>
          </w:p>
        </w:tc>
      </w:tr>
    </w:tbl>
    <w:p>
      <w:pPr>
        <w:pStyle w:val="7"/>
        <w:autoSpaceDE w:val="0"/>
        <w:autoSpaceDN w:val="0"/>
        <w:spacing w:line="560" w:lineRule="exact"/>
        <w:ind w:right="272" w:firstLine="640" w:firstLineChars="200"/>
        <w:rPr>
          <w:rFonts w:ascii="仿宋_GB2312" w:hAnsi="仿宋_GB2312" w:eastAsia="仿宋_GB2312" w:cs="仿宋_GB2312"/>
          <w:color w:val="222222"/>
          <w:shd w:val="clear" w:color="auto" w:fill="FFFFFF"/>
          <w:lang w:val="en-US" w:bidi="ar-SA"/>
        </w:rPr>
      </w:pPr>
      <w:r>
        <w:rPr>
          <w:rFonts w:hint="eastAsia" w:ascii="仿宋_GB2312" w:hAnsi="仿宋" w:eastAsia="仿宋_GB2312" w:cs="Times New Roman"/>
          <w:lang w:val="en-US" w:bidi="ar-SA"/>
        </w:rPr>
        <w:t>参照表5-2中风险程度评判标准和风险指数评判标准，切实落实风险防范和化解措施后，《实施</w:t>
      </w:r>
      <w:r>
        <w:rPr>
          <w:rFonts w:hint="eastAsia" w:ascii="仿宋_GB2312" w:hAnsi="仿宋" w:eastAsia="仿宋_GB2312" w:cs="Times New Roman"/>
          <w:sz w:val="32"/>
          <w:szCs w:val="32"/>
          <w:lang w:val="en-US" w:eastAsia="zh-CN"/>
        </w:rPr>
        <w:t>意见</w:t>
      </w:r>
      <w:r>
        <w:rPr>
          <w:rFonts w:hint="eastAsia" w:ascii="仿宋_GB2312" w:hAnsi="仿宋" w:eastAsia="仿宋_GB2312" w:cs="Times New Roman"/>
          <w:lang w:val="en-US" w:bidi="ar-SA"/>
        </w:rPr>
        <w:t>》整体风险等</w:t>
      </w:r>
      <w:r>
        <w:rPr>
          <w:rFonts w:hint="eastAsia" w:ascii="仿宋_GB2312" w:hAnsi="仿宋_GB2312" w:eastAsia="仿宋_GB2312" w:cs="仿宋_GB2312"/>
          <w:color w:val="222222"/>
          <w:shd w:val="clear" w:color="auto" w:fill="FFFFFF"/>
          <w:lang w:val="en-US" w:bidi="ar-SA"/>
        </w:rPr>
        <w:t>级预判为低风险。</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rPr>
          <w:rFonts w:ascii="楷体" w:hAnsi="楷体" w:eastAsia="楷体" w:cs="楷体"/>
          <w:sz w:val="32"/>
          <w:szCs w:val="32"/>
        </w:rPr>
      </w:pPr>
    </w:p>
    <w:p>
      <w:pPr>
        <w:spacing w:line="560" w:lineRule="exact"/>
        <w:rPr>
          <w:rFonts w:ascii="楷体" w:hAnsi="楷体" w:eastAsia="楷体" w:cs="楷体"/>
          <w:sz w:val="32"/>
          <w:szCs w:val="32"/>
        </w:rPr>
      </w:pPr>
    </w:p>
    <w:p>
      <w:pPr>
        <w:spacing w:line="560" w:lineRule="exact"/>
        <w:jc w:val="center"/>
        <w:outlineLvl w:val="0"/>
        <w:rPr>
          <w:rFonts w:ascii="方正小标宋_GBK" w:hAnsi="方正小标宋_GBK" w:eastAsia="方正小标宋_GBK" w:cs="方正小标宋_GBK"/>
          <w:sz w:val="44"/>
          <w:szCs w:val="44"/>
        </w:rPr>
      </w:pPr>
      <w:bookmarkStart w:id="49" w:name="_Toc5893"/>
      <w:bookmarkStart w:id="50" w:name="_Toc23592"/>
      <w:r>
        <w:rPr>
          <w:rFonts w:hint="eastAsia" w:ascii="方正小标宋_GBK" w:hAnsi="方正小标宋_GBK" w:eastAsia="方正小标宋_GBK" w:cs="方正小标宋_GBK"/>
          <w:sz w:val="44"/>
          <w:szCs w:val="44"/>
        </w:rPr>
        <w:t>第八章  应急处置预案</w:t>
      </w:r>
      <w:bookmarkEnd w:id="49"/>
      <w:bookmarkEnd w:id="50"/>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在全面落实风险防范和化解措施的同时，制定相应的应急处置预案，与各级政府相关部门应急处置预案相结合，加强维稳和处置能力，一旦发</w:t>
      </w:r>
      <w:bookmarkStart w:id="55" w:name="_GoBack"/>
      <w:bookmarkEnd w:id="55"/>
      <w:r>
        <w:rPr>
          <w:rFonts w:hint="eastAsia" w:ascii="仿宋_GB2312" w:hAnsi="仿宋_GB2312" w:eastAsia="仿宋_GB2312" w:cs="仿宋_GB2312"/>
          <w:sz w:val="32"/>
          <w:szCs w:val="32"/>
        </w:rPr>
        <w:t>生影响社会稳定问题的苗头和事件时，要及时向相关部门报告并启动相应的应急预案。</w:t>
      </w:r>
    </w:p>
    <w:p>
      <w:pPr>
        <w:spacing w:line="560" w:lineRule="exact"/>
        <w:ind w:firstLine="800" w:firstLineChars="250"/>
        <w:outlineLvl w:val="1"/>
        <w:rPr>
          <w:rFonts w:ascii="黑体" w:hAnsi="黑体" w:eastAsia="黑体" w:cs="黑体"/>
          <w:sz w:val="32"/>
          <w:szCs w:val="32"/>
        </w:rPr>
      </w:pPr>
      <w:bookmarkStart w:id="51" w:name="_Toc19909"/>
      <w:bookmarkStart w:id="52" w:name="_Toc13965"/>
      <w:r>
        <w:rPr>
          <w:rFonts w:hint="eastAsia" w:ascii="黑体" w:hAnsi="黑体" w:eastAsia="黑体" w:cs="黑体"/>
          <w:sz w:val="32"/>
          <w:szCs w:val="32"/>
        </w:rPr>
        <w:t>一、基本要求</w:t>
      </w:r>
      <w:bookmarkEnd w:id="51"/>
      <w:bookmarkEnd w:id="52"/>
    </w:p>
    <w:p>
      <w:pPr>
        <w:spacing w:line="560" w:lineRule="exact"/>
        <w:ind w:firstLine="640"/>
        <w:rPr>
          <w:rFonts w:ascii="楷体" w:hAnsi="楷体" w:eastAsia="楷体" w:cs="楷体"/>
          <w:sz w:val="32"/>
          <w:szCs w:val="32"/>
        </w:rPr>
      </w:pPr>
      <w:r>
        <w:rPr>
          <w:rFonts w:hint="eastAsia" w:ascii="楷体" w:hAnsi="楷体" w:eastAsia="楷体" w:cs="楷体"/>
          <w:sz w:val="32"/>
          <w:szCs w:val="32"/>
        </w:rPr>
        <w:t>（一）强化组织领导</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《实施</w:t>
      </w:r>
      <w:r>
        <w:rPr>
          <w:rFonts w:hint="eastAsia" w:ascii="仿宋_GB2312" w:hAnsi="仿宋" w:eastAsia="仿宋_GB2312" w:cs="Times New Roman"/>
          <w:sz w:val="32"/>
          <w:szCs w:val="32"/>
          <w:lang w:val="en-US" w:eastAsia="zh-CN"/>
        </w:rPr>
        <w:t>意见</w:t>
      </w:r>
      <w:r>
        <w:rPr>
          <w:rFonts w:hint="eastAsia" w:ascii="仿宋_GB2312" w:hAnsi="仿宋_GB2312" w:eastAsia="仿宋_GB2312" w:cs="仿宋_GB2312"/>
          <w:sz w:val="32"/>
          <w:szCs w:val="32"/>
        </w:rPr>
        <w:t>》涉及的相关单位要进一步增强风险意识，建立应急处置机构，把防范化解重大风险隐患工作摆在突出位置。明确参与人员，加强领导，强化责任意识，建立高效的联动工作机制，落实维护社会稳定责任制，明确维护社会稳定工作中的重点问题，对维护社会稳定工作实行目标管理。</w:t>
      </w:r>
    </w:p>
    <w:p>
      <w:pPr>
        <w:spacing w:line="560" w:lineRule="exact"/>
        <w:ind w:firstLine="640"/>
        <w:rPr>
          <w:rFonts w:ascii="楷体" w:hAnsi="楷体" w:eastAsia="楷体" w:cs="楷体"/>
          <w:sz w:val="32"/>
          <w:szCs w:val="32"/>
        </w:rPr>
      </w:pPr>
      <w:r>
        <w:rPr>
          <w:rFonts w:hint="eastAsia" w:ascii="楷体" w:hAnsi="楷体" w:eastAsia="楷体" w:cs="楷体"/>
          <w:sz w:val="32"/>
          <w:szCs w:val="32"/>
        </w:rPr>
        <w:t>（二）明确防控责任</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相关单位应进一步明确防控责任，确定本部门防范化解重大风险隐患的第一责任人，切实落实主体责任，勇于担当、履职尽责，把职责范围内的风险防控好，不推脱责任，使风险排查常态化、风险识别具体化、风险评估精细化、风险防控长效化。</w:t>
      </w:r>
    </w:p>
    <w:p>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（三）严格追责问责</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相关单位要建立健全隐患排查和防范化解的台账制度。发生风险事件的，要倒查风险管理和隐患排查工作情况。对未按规定开展自查、检查、督查和风险评估的，未落实风险处置准备导致风险事件发生或使事态扩大的，要依法依规追究责任。</w:t>
      </w:r>
    </w:p>
    <w:p>
      <w:pPr>
        <w:spacing w:line="560" w:lineRule="exact"/>
        <w:ind w:firstLine="640" w:firstLineChars="200"/>
        <w:outlineLvl w:val="1"/>
        <w:rPr>
          <w:rFonts w:ascii="黑体" w:hAnsi="黑体" w:eastAsia="黑体" w:cs="黑体"/>
          <w:sz w:val="32"/>
          <w:szCs w:val="32"/>
        </w:rPr>
      </w:pPr>
      <w:bookmarkStart w:id="53" w:name="_Toc11385"/>
      <w:bookmarkStart w:id="54" w:name="_Toc5040"/>
      <w:r>
        <w:rPr>
          <w:rFonts w:hint="eastAsia" w:ascii="黑体" w:hAnsi="黑体" w:eastAsia="黑体" w:cs="黑体"/>
          <w:sz w:val="32"/>
          <w:szCs w:val="32"/>
        </w:rPr>
        <w:t>二、应急措施</w:t>
      </w:r>
      <w:bookmarkEnd w:id="53"/>
      <w:bookmarkEnd w:id="5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发现风险苗头或事件时，需启动预案，并按以下程序开展工作：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（一）及时召开维稳工作会议，通报不稳定情况和处理情况，分析研究可能出现的重大问题及对策。并将不稳定情况向上级有关部门报告，并建立联动机制。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（二）对已发生的群体性事件，应以教育、疏导为主，力争把问题解决在萌芽或初始状态。对问题复杂、规模较大的群体性事件要及时控制现场，防止矛盾激化，将由此可能造成的损失降低至最低。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（三）对已发生的风险进行全面调查，查清楚事情经过、分析产生原因和造成的损失，必要时启动问责机制。</w:t>
      </w:r>
    </w:p>
    <w:p>
      <w:pPr>
        <w:spacing w:line="560" w:lineRule="exact"/>
        <w:rPr>
          <w:rFonts w:ascii="楷体" w:hAnsi="楷体" w:eastAsia="楷体" w:cs="楷体"/>
          <w:sz w:val="32"/>
          <w:szCs w:val="32"/>
        </w:rPr>
      </w:pPr>
    </w:p>
    <w:p>
      <w:pPr>
        <w:spacing w:line="560" w:lineRule="exact"/>
        <w:rPr>
          <w:rFonts w:ascii="楷体" w:hAnsi="楷体" w:eastAsia="楷体" w:cs="楷体"/>
          <w:sz w:val="32"/>
          <w:szCs w:val="32"/>
        </w:rPr>
      </w:pPr>
    </w:p>
    <w:p>
      <w:pPr>
        <w:spacing w:line="560" w:lineRule="exact"/>
        <w:rPr>
          <w:rFonts w:ascii="楷体" w:hAnsi="楷体" w:eastAsia="楷体" w:cs="楷体"/>
          <w:sz w:val="32"/>
          <w:szCs w:val="32"/>
        </w:rPr>
      </w:pPr>
    </w:p>
    <w:p>
      <w:pPr>
        <w:spacing w:line="560" w:lineRule="exact"/>
        <w:rPr>
          <w:rFonts w:ascii="楷体" w:hAnsi="楷体" w:eastAsia="楷体" w:cs="楷体"/>
          <w:sz w:val="32"/>
          <w:szCs w:val="32"/>
        </w:rPr>
      </w:pPr>
    </w:p>
    <w:p>
      <w:pPr>
        <w:spacing w:line="560" w:lineRule="exact"/>
        <w:rPr>
          <w:rFonts w:ascii="楷体" w:hAnsi="楷体" w:eastAsia="楷体" w:cs="楷体"/>
          <w:sz w:val="32"/>
          <w:szCs w:val="32"/>
        </w:rPr>
      </w:pPr>
    </w:p>
    <w:p>
      <w:pPr>
        <w:spacing w:line="560" w:lineRule="exact"/>
        <w:rPr>
          <w:rFonts w:ascii="楷体" w:hAnsi="楷体" w:eastAsia="楷体" w:cs="楷体"/>
          <w:sz w:val="32"/>
          <w:szCs w:val="32"/>
        </w:rPr>
      </w:pPr>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p>
    <w:p>
      <w:pPr>
        <w:spacing w:line="560" w:lineRule="exact"/>
        <w:jc w:val="center"/>
        <w:rPr>
          <w:rFonts w:ascii="方正小标宋_GBK" w:hAnsi="方正小标宋_GBK" w:eastAsia="方正小标宋_GBK" w:cs="方正小标宋_GBK"/>
          <w:sz w:val="44"/>
          <w:szCs w:val="44"/>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8"/>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仿宋_GB2312" w:hAnsi="仿宋_GB2312" w:eastAsia="仿宋_GB2312" w:cs="仿宋_GB2312"/>
                              <w:sz w:val="32"/>
                              <w:szCs w:val="3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8"/>
                      <w:rPr>
                        <w:rFonts w:ascii="仿宋_GB2312" w:hAnsi="仿宋_GB2312" w:eastAsia="仿宋_GB2312" w:cs="仿宋_GB2312"/>
                        <w:sz w:val="32"/>
                        <w:szCs w:val="32"/>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46340C"/>
    <w:multiLevelType w:val="singleLevel"/>
    <w:tmpl w:val="6646340C"/>
    <w:lvl w:ilvl="0" w:tentative="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iZDUyNjk5Nzg4ZjVhMmVkN2NmYzZkZWUwNTVhMjYifQ=="/>
  </w:docVars>
  <w:rsids>
    <w:rsidRoot w:val="005E059C"/>
    <w:rsid w:val="00075D33"/>
    <w:rsid w:val="000E7D74"/>
    <w:rsid w:val="00170560"/>
    <w:rsid w:val="001F1BF8"/>
    <w:rsid w:val="002F0B91"/>
    <w:rsid w:val="00494C6A"/>
    <w:rsid w:val="005E059C"/>
    <w:rsid w:val="006366CD"/>
    <w:rsid w:val="00785494"/>
    <w:rsid w:val="007D66F6"/>
    <w:rsid w:val="00846899"/>
    <w:rsid w:val="00851BF9"/>
    <w:rsid w:val="009359E3"/>
    <w:rsid w:val="009633EB"/>
    <w:rsid w:val="00974E14"/>
    <w:rsid w:val="009C632E"/>
    <w:rsid w:val="00C07E41"/>
    <w:rsid w:val="00CC58F9"/>
    <w:rsid w:val="00D83E2B"/>
    <w:rsid w:val="00D91064"/>
    <w:rsid w:val="00DF4597"/>
    <w:rsid w:val="00E03FF3"/>
    <w:rsid w:val="00E147E6"/>
    <w:rsid w:val="00E266BB"/>
    <w:rsid w:val="00EA43E1"/>
    <w:rsid w:val="00EC495D"/>
    <w:rsid w:val="00FA033C"/>
    <w:rsid w:val="032249EF"/>
    <w:rsid w:val="03374276"/>
    <w:rsid w:val="04171580"/>
    <w:rsid w:val="0508408B"/>
    <w:rsid w:val="062D49DB"/>
    <w:rsid w:val="065C3C76"/>
    <w:rsid w:val="097322B4"/>
    <w:rsid w:val="0B4A7AFF"/>
    <w:rsid w:val="0B6D5836"/>
    <w:rsid w:val="0C585E1B"/>
    <w:rsid w:val="0CC82929"/>
    <w:rsid w:val="0F2C5DE9"/>
    <w:rsid w:val="105015D1"/>
    <w:rsid w:val="133A701E"/>
    <w:rsid w:val="13451652"/>
    <w:rsid w:val="13601E0A"/>
    <w:rsid w:val="14593C7C"/>
    <w:rsid w:val="151076CD"/>
    <w:rsid w:val="156B0900"/>
    <w:rsid w:val="1707649B"/>
    <w:rsid w:val="172519F7"/>
    <w:rsid w:val="178A7E0D"/>
    <w:rsid w:val="17D96A93"/>
    <w:rsid w:val="18803539"/>
    <w:rsid w:val="1A057D8D"/>
    <w:rsid w:val="1AD11A1D"/>
    <w:rsid w:val="1C484BEB"/>
    <w:rsid w:val="1CD3634C"/>
    <w:rsid w:val="1FBE31A1"/>
    <w:rsid w:val="248542A5"/>
    <w:rsid w:val="24BC6653"/>
    <w:rsid w:val="27CA4019"/>
    <w:rsid w:val="27D24006"/>
    <w:rsid w:val="285861CA"/>
    <w:rsid w:val="2A435E9E"/>
    <w:rsid w:val="2D0417EB"/>
    <w:rsid w:val="2D0F1C6B"/>
    <w:rsid w:val="2DA2123F"/>
    <w:rsid w:val="2FA74A53"/>
    <w:rsid w:val="2FC278B7"/>
    <w:rsid w:val="32655415"/>
    <w:rsid w:val="33324454"/>
    <w:rsid w:val="33D54762"/>
    <w:rsid w:val="35227361"/>
    <w:rsid w:val="37D3697D"/>
    <w:rsid w:val="37D375CB"/>
    <w:rsid w:val="3A142D32"/>
    <w:rsid w:val="3C01355A"/>
    <w:rsid w:val="3D597924"/>
    <w:rsid w:val="3F341CE4"/>
    <w:rsid w:val="415A58F2"/>
    <w:rsid w:val="491A440C"/>
    <w:rsid w:val="49D04E1F"/>
    <w:rsid w:val="4B282F25"/>
    <w:rsid w:val="4BE9072D"/>
    <w:rsid w:val="4D7D7303"/>
    <w:rsid w:val="4E1B2E6D"/>
    <w:rsid w:val="4E1E499E"/>
    <w:rsid w:val="513B7615"/>
    <w:rsid w:val="52552EE7"/>
    <w:rsid w:val="52994CAF"/>
    <w:rsid w:val="560C7FDB"/>
    <w:rsid w:val="561D0F36"/>
    <w:rsid w:val="59DE4FD6"/>
    <w:rsid w:val="5CC42BB4"/>
    <w:rsid w:val="5E84300C"/>
    <w:rsid w:val="5F76168E"/>
    <w:rsid w:val="60547E5F"/>
    <w:rsid w:val="647E0A7C"/>
    <w:rsid w:val="6769146A"/>
    <w:rsid w:val="677963AC"/>
    <w:rsid w:val="68E17B14"/>
    <w:rsid w:val="6D392803"/>
    <w:rsid w:val="6DE14F85"/>
    <w:rsid w:val="6E302823"/>
    <w:rsid w:val="6E5A4102"/>
    <w:rsid w:val="6F515CE6"/>
    <w:rsid w:val="6F9D3509"/>
    <w:rsid w:val="703A1D84"/>
    <w:rsid w:val="70711BDA"/>
    <w:rsid w:val="729358FF"/>
    <w:rsid w:val="73B16901"/>
    <w:rsid w:val="75175143"/>
    <w:rsid w:val="75233186"/>
    <w:rsid w:val="78543CD2"/>
    <w:rsid w:val="79A4236B"/>
    <w:rsid w:val="7BD2286E"/>
    <w:rsid w:val="7C496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1"/>
    <w:pPr>
      <w:spacing w:before="49"/>
      <w:ind w:right="200"/>
      <w:jc w:val="center"/>
      <w:outlineLvl w:val="0"/>
    </w:pPr>
    <w:rPr>
      <w:rFonts w:ascii="宋体" w:hAnsi="宋体" w:eastAsia="宋体" w:cs="宋体"/>
      <w:sz w:val="36"/>
      <w:szCs w:val="36"/>
      <w:lang w:val="zh-CN" w:bidi="zh-CN"/>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pPr>
      <w:spacing w:after="120"/>
      <w:ind w:left="420" w:leftChars="200" w:firstLine="420" w:firstLineChars="200"/>
    </w:pPr>
    <w:rPr>
      <w:rFonts w:eastAsia="宋体"/>
    </w:rPr>
  </w:style>
  <w:style w:type="paragraph" w:styleId="3">
    <w:name w:val="Body Text Indent"/>
    <w:basedOn w:val="1"/>
    <w:autoRedefine/>
    <w:qFormat/>
    <w:uiPriority w:val="0"/>
    <w:pPr>
      <w:ind w:firstLine="1120" w:firstLineChars="350"/>
    </w:pPr>
  </w:style>
  <w:style w:type="paragraph" w:styleId="4">
    <w:name w:val="Body Text First Indent"/>
    <w:autoRedefine/>
    <w:qFormat/>
    <w:uiPriority w:val="0"/>
    <w:pPr>
      <w:widowControl w:val="0"/>
      <w:spacing w:after="120"/>
      <w:ind w:firstLine="420" w:firstLineChars="100"/>
      <w:jc w:val="both"/>
    </w:pPr>
    <w:rPr>
      <w:rFonts w:ascii="Calibri" w:hAnsi="Calibri" w:eastAsia="宋体" w:cs="Times New Roman"/>
      <w:kern w:val="2"/>
      <w:sz w:val="21"/>
      <w:szCs w:val="24"/>
      <w:lang w:val="en-US" w:eastAsia="zh-CN" w:bidi="ar-SA"/>
    </w:rPr>
  </w:style>
  <w:style w:type="paragraph" w:styleId="6">
    <w:name w:val="annotation text"/>
    <w:basedOn w:val="1"/>
    <w:autoRedefine/>
    <w:semiHidden/>
    <w:unhideWhenUsed/>
    <w:qFormat/>
    <w:uiPriority w:val="99"/>
    <w:pPr>
      <w:jc w:val="left"/>
    </w:pPr>
  </w:style>
  <w:style w:type="paragraph" w:styleId="7">
    <w:name w:val="Body Text"/>
    <w:basedOn w:val="1"/>
    <w:autoRedefine/>
    <w:qFormat/>
    <w:uiPriority w:val="1"/>
    <w:rPr>
      <w:rFonts w:ascii="宋体" w:hAnsi="宋体" w:eastAsia="宋体" w:cs="宋体"/>
      <w:sz w:val="32"/>
      <w:szCs w:val="32"/>
      <w:lang w:val="zh-CN" w:bidi="zh-CN"/>
    </w:rPr>
  </w:style>
  <w:style w:type="paragraph" w:styleId="8">
    <w:name w:val="footer"/>
    <w:basedOn w:val="1"/>
    <w:autoRedefine/>
    <w:unhideWhenUsed/>
    <w:qFormat/>
    <w:uiPriority w:val="99"/>
    <w:pPr>
      <w:tabs>
        <w:tab w:val="center" w:pos="4153"/>
        <w:tab w:val="right" w:pos="8306"/>
      </w:tabs>
      <w:snapToGrid w:val="0"/>
      <w:jc w:val="left"/>
    </w:pPr>
    <w:rPr>
      <w:sz w:val="18"/>
    </w:rPr>
  </w:style>
  <w:style w:type="paragraph" w:styleId="9">
    <w:name w:val="header"/>
    <w:basedOn w:val="1"/>
    <w:autoRedefine/>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autoRedefine/>
    <w:semiHidden/>
    <w:unhideWhenUsed/>
    <w:qFormat/>
    <w:uiPriority w:val="39"/>
  </w:style>
  <w:style w:type="paragraph" w:styleId="11">
    <w:name w:val="toc 2"/>
    <w:basedOn w:val="1"/>
    <w:next w:val="1"/>
    <w:autoRedefine/>
    <w:semiHidden/>
    <w:unhideWhenUsed/>
    <w:qFormat/>
    <w:uiPriority w:val="39"/>
    <w:pPr>
      <w:ind w:left="420" w:leftChars="200"/>
    </w:pPr>
  </w:style>
  <w:style w:type="paragraph" w:styleId="12">
    <w:name w:val="Normal (Web)"/>
    <w:basedOn w:val="1"/>
    <w:autoRedefine/>
    <w:qFormat/>
    <w:uiPriority w:val="0"/>
    <w:pPr>
      <w:widowControl/>
      <w:jc w:val="left"/>
    </w:pPr>
    <w:rPr>
      <w:rFonts w:ascii="宋体" w:hAnsi="宋体" w:cs="宋体"/>
      <w:kern w:val="0"/>
      <w:sz w:val="24"/>
      <w:szCs w:val="24"/>
    </w:rPr>
  </w:style>
  <w:style w:type="table" w:styleId="14">
    <w:name w:val="Table Grid"/>
    <w:basedOn w:val="1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autoRedefine/>
    <w:semiHidden/>
    <w:unhideWhenUsed/>
    <w:qFormat/>
    <w:uiPriority w:val="99"/>
    <w:rPr>
      <w:color w:val="0000FF"/>
      <w:u w:val="single"/>
    </w:rPr>
  </w:style>
  <w:style w:type="paragraph" w:customStyle="1" w:styleId="17">
    <w:name w:val="分类号"/>
    <w:basedOn w:val="1"/>
    <w:autoRedefine/>
    <w:qFormat/>
    <w:uiPriority w:val="0"/>
    <w:rPr>
      <w:rFonts w:ascii="仿宋_GB2312" w:hAnsi="Times New Roman" w:eastAsia="仿宋_GB2312" w:cs="Times New Roman"/>
      <w:sz w:val="28"/>
      <w:szCs w:val="28"/>
    </w:rPr>
  </w:style>
  <w:style w:type="paragraph" w:customStyle="1" w:styleId="18">
    <w:name w:val="封面日期"/>
    <w:basedOn w:val="1"/>
    <w:autoRedefine/>
    <w:qFormat/>
    <w:uiPriority w:val="0"/>
    <w:pPr>
      <w:jc w:val="center"/>
    </w:pPr>
    <w:rPr>
      <w:rFonts w:ascii="黑体" w:hAnsi="Times New Roman" w:eastAsia="黑体" w:cs="Times New Roman"/>
      <w:sz w:val="32"/>
      <w:szCs w:val="32"/>
    </w:rPr>
  </w:style>
  <w:style w:type="paragraph" w:customStyle="1" w:styleId="19">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20">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21">
    <w:name w:val="研究生姓名"/>
    <w:basedOn w:val="1"/>
    <w:autoRedefine/>
    <w:qFormat/>
    <w:uiPriority w:val="0"/>
    <w:pPr>
      <w:ind w:firstLine="700" w:firstLineChars="700"/>
    </w:pPr>
    <w:rPr>
      <w:rFonts w:ascii="Times New Roman" w:hAnsi="Times New Roman" w:eastAsia="宋体" w:cs="Times New Roman"/>
      <w:sz w:val="28"/>
      <w:szCs w:val="28"/>
    </w:rPr>
  </w:style>
  <w:style w:type="paragraph" w:customStyle="1" w:styleId="22">
    <w:name w:val="WPSOffice手动目录 1"/>
    <w:autoRedefine/>
    <w:qFormat/>
    <w:uiPriority w:val="0"/>
    <w:rPr>
      <w:rFonts w:ascii="Times New Roman" w:hAnsi="Times New Roman" w:eastAsia="宋体" w:cs="Times New Roman"/>
      <w:lang w:val="en-US" w:eastAsia="zh-CN" w:bidi="ar-SA"/>
    </w:rPr>
  </w:style>
  <w:style w:type="paragraph" w:customStyle="1" w:styleId="2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styleId="24">
    <w:name w:val="List Paragraph"/>
    <w:basedOn w:val="1"/>
    <w:autoRedefine/>
    <w:qFormat/>
    <w:uiPriority w:val="1"/>
    <w:pPr>
      <w:ind w:left="1329" w:hanging="560"/>
    </w:pPr>
    <w:rPr>
      <w:rFonts w:ascii="宋体" w:hAnsi="宋体" w:eastAsia="宋体" w:cs="宋体"/>
      <w:lang w:val="zh-CN" w:bidi="zh-CN"/>
    </w:rPr>
  </w:style>
  <w:style w:type="paragraph" w:customStyle="1" w:styleId="25">
    <w:name w:val="Table Paragraph"/>
    <w:basedOn w:val="1"/>
    <w:autoRedefine/>
    <w:qFormat/>
    <w:uiPriority w:val="1"/>
    <w:pPr>
      <w:jc w:val="center"/>
    </w:pPr>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10165</Words>
  <Characters>10501</Characters>
  <Lines>91</Lines>
  <Paragraphs>25</Paragraphs>
  <TotalTime>37</TotalTime>
  <ScaleCrop>false</ScaleCrop>
  <LinksUpToDate>false</LinksUpToDate>
  <CharactersWithSpaces>10652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2023-06-15T10:25:00Z</dcterms:created>
  <dc:creator>xiaofei li</dc:creator>
  <cp:lastModifiedBy>BIG MAN</cp:lastModifiedBy>
  <cp:lastPrinted>2023-10-07T06:56:00Z</cp:lastPrinted>
  <dcterms:modified xsi:type="dcterms:W3CDTF">2023-12-26T08:42:05Z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750AFE4BCAA04F80BB250ECB0F4614B6_13</vt:lpwstr>
  </property>
  <property fmtid="{D5CDD505-2E9C-101B-9397-08002B2CF9AE}" pid="4" name="commondata">
    <vt:lpwstr>eyJoZGlkIjoiMGI4YjA3YzYxNDU0ZTZiODk1MDQ3MjZlZmUyMGJhZDcifQ==</vt:lpwstr>
  </property>
</Properties>
</file>